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1916C" w14:textId="77777777" w:rsidR="00CC2371" w:rsidRPr="00DD5579" w:rsidRDefault="00DD5579" w:rsidP="003C2B72">
      <w:pPr>
        <w:pStyle w:val="QCAContents"/>
        <w:rPr>
          <w:color w:val="FFFFFF" w:themeColor="background1"/>
        </w:rPr>
      </w:pPr>
      <w:r>
        <w:rPr>
          <w:noProof/>
          <w:color w:val="FFFFFF" w:themeColor="background1"/>
          <w:lang w:eastAsia="en-AU"/>
        </w:rPr>
        <w:drawing>
          <wp:inline distT="0" distB="0" distL="0" distR="0" wp14:anchorId="094199D1" wp14:editId="02F84BC6">
            <wp:extent cx="1271601" cy="1271601"/>
            <wp:effectExtent l="0" t="0" r="5080" b="5080"/>
            <wp:docPr id="32" name="Picture 30" descr="QCA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A_Logo_WHITE.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271601" cy="1271601"/>
                    </a:xfrm>
                    <a:prstGeom prst="rect">
                      <a:avLst/>
                    </a:prstGeom>
                  </pic:spPr>
                </pic:pic>
              </a:graphicData>
            </a:graphic>
          </wp:inline>
        </w:drawing>
      </w:r>
    </w:p>
    <w:p w14:paraId="70F4B8D8" w14:textId="77777777" w:rsidR="00CC2371" w:rsidRPr="00DD5579" w:rsidRDefault="00CC2371" w:rsidP="00AB5E3B">
      <w:pPr>
        <w:pStyle w:val="QCAContents"/>
        <w:spacing w:before="240"/>
        <w:rPr>
          <w:color w:val="FFFFFF" w:themeColor="background1"/>
        </w:rPr>
      </w:pPr>
    </w:p>
    <w:p w14:paraId="776423C9" w14:textId="77777777" w:rsidR="00CC2371" w:rsidRPr="00DD5579" w:rsidRDefault="00CC2371" w:rsidP="003C2B72">
      <w:pPr>
        <w:pStyle w:val="QCAContents"/>
        <w:rPr>
          <w:color w:val="FFFFFF" w:themeColor="background1"/>
        </w:rPr>
      </w:pPr>
    </w:p>
    <w:p w14:paraId="57BDD6D2" w14:textId="77777777" w:rsidR="003D023F" w:rsidRPr="00DD5579" w:rsidRDefault="003D023F" w:rsidP="003C2B72">
      <w:pPr>
        <w:pStyle w:val="QCAContents"/>
        <w:rPr>
          <w:color w:val="FFFFFF" w:themeColor="background1"/>
        </w:rPr>
      </w:pPr>
    </w:p>
    <w:p w14:paraId="28E7196C" w14:textId="77777777" w:rsidR="00B27FC3" w:rsidRPr="00140204" w:rsidRDefault="00B27FC3" w:rsidP="003C2B72">
      <w:pPr>
        <w:pStyle w:val="QCAContents"/>
        <w:rPr>
          <w:b/>
          <w:color w:val="FFFFFF" w:themeColor="background1"/>
        </w:rPr>
      </w:pPr>
    </w:p>
    <w:p w14:paraId="4D9E521F" w14:textId="6BEA4D82" w:rsidR="007D248A" w:rsidRPr="00C14070" w:rsidRDefault="003A0114" w:rsidP="00731D6C">
      <w:pPr>
        <w:pStyle w:val="Heading1"/>
        <w:pBdr>
          <w:bottom w:val="single" w:sz="4" w:space="1" w:color="auto"/>
        </w:pBdr>
        <w:rPr>
          <w:b/>
        </w:rPr>
      </w:pPr>
      <w:bookmarkStart w:id="0" w:name="_Toc78532640"/>
      <w:bookmarkStart w:id="1" w:name="_Toc78532816"/>
      <w:bookmarkStart w:id="2" w:name="_Toc79506677"/>
      <w:bookmarkStart w:id="3" w:name="_Toc79657582"/>
      <w:bookmarkStart w:id="4" w:name="_Toc80792939"/>
      <w:r>
        <w:rPr>
          <w:b/>
        </w:rPr>
        <w:t>Annual report 2020–21</w:t>
      </w:r>
      <w:bookmarkEnd w:id="0"/>
      <w:bookmarkEnd w:id="1"/>
      <w:bookmarkEnd w:id="2"/>
      <w:bookmarkEnd w:id="3"/>
      <w:bookmarkEnd w:id="4"/>
    </w:p>
    <w:p w14:paraId="17742D64" w14:textId="77777777" w:rsidR="00290C12" w:rsidRDefault="00290C12"/>
    <w:p w14:paraId="5EFE1265" w14:textId="77777777" w:rsidR="007E2AE7" w:rsidRDefault="007E2AE7" w:rsidP="002D0757">
      <w:pPr>
        <w:pStyle w:val="QCABodyText"/>
        <w:sectPr w:rsidR="007E2AE7" w:rsidSect="004058E9">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361" w:right="851" w:bottom="1814" w:left="1814" w:header="284" w:footer="284" w:gutter="0"/>
          <w:cols w:space="708"/>
          <w:docGrid w:linePitch="360"/>
        </w:sectPr>
      </w:pPr>
    </w:p>
    <w:p w14:paraId="541487F4" w14:textId="54E7877C" w:rsidR="002E60E0" w:rsidRDefault="003C2B72" w:rsidP="00212CAB">
      <w:pPr>
        <w:pStyle w:val="Heading2"/>
        <w:rPr>
          <w:color w:val="FFFFFF" w:themeColor="background1"/>
        </w:rPr>
        <w:sectPr w:rsidR="002E60E0" w:rsidSect="004058E9">
          <w:footerReference w:type="default" r:id="rId16"/>
          <w:type w:val="continuous"/>
          <w:pgSz w:w="11907" w:h="16840" w:code="9"/>
          <w:pgMar w:top="1361" w:right="851" w:bottom="1814" w:left="1814" w:header="284" w:footer="170" w:gutter="0"/>
          <w:pgNumType w:fmt="lowerRoman" w:start="1"/>
          <w:cols w:num="2" w:space="708"/>
          <w:docGrid w:linePitch="360"/>
        </w:sectPr>
      </w:pPr>
      <w:r w:rsidRPr="00DD5579">
        <w:rPr>
          <w:color w:val="FFFFFF" w:themeColor="background1"/>
        </w:rPr>
        <w:br w:type="page"/>
      </w:r>
      <w:bookmarkStart w:id="5" w:name="_Toc456357652"/>
      <w:bookmarkStart w:id="6" w:name="_Toc456700105"/>
      <w:bookmarkStart w:id="7" w:name="_Toc487532120"/>
      <w:bookmarkStart w:id="8" w:name="_Toc487611724"/>
      <w:bookmarkStart w:id="9" w:name="_Toc487614497"/>
      <w:bookmarkStart w:id="10" w:name="_Toc487623466"/>
      <w:bookmarkStart w:id="11" w:name="_Toc520281745"/>
      <w:bookmarkStart w:id="12" w:name="_Toc520282139"/>
      <w:bookmarkStart w:id="13" w:name="_Toc14439657"/>
      <w:bookmarkStart w:id="14" w:name="_Toc15640679"/>
      <w:bookmarkStart w:id="15" w:name="_Toc46830663"/>
      <w:bookmarkStart w:id="16" w:name="_Toc47088869"/>
      <w:bookmarkStart w:id="17" w:name="_Toc47347933"/>
      <w:bookmarkStart w:id="18" w:name="_Toc47689410"/>
      <w:bookmarkStart w:id="19" w:name="_Toc47689664"/>
      <w:bookmarkStart w:id="20" w:name="_Toc48117188"/>
      <w:bookmarkStart w:id="21" w:name="_Toc48119579"/>
      <w:bookmarkStart w:id="22" w:name="_Toc50103760"/>
      <w:bookmarkStart w:id="23" w:name="_Toc78532641"/>
      <w:bookmarkStart w:id="24" w:name="_Toc78532817"/>
      <w:bookmarkStart w:id="25" w:name="_Toc79506678"/>
      <w:bookmarkStart w:id="26" w:name="_Toc79657583"/>
      <w:bookmarkStart w:id="27" w:name="_Toc80792940"/>
      <w:r w:rsidR="00043097">
        <w:rPr>
          <w:noProof/>
          <w:color w:val="FFFFFF" w:themeColor="background1"/>
          <w:lang w:eastAsia="en-AU"/>
        </w:rPr>
        <w:lastRenderedPageBreak/>
        <mc:AlternateContent>
          <mc:Choice Requires="wps">
            <w:drawing>
              <wp:anchor distT="0" distB="0" distL="114300" distR="114300" simplePos="0" relativeHeight="251716608" behindDoc="0" locked="0" layoutInCell="1" allowOverlap="1" wp14:anchorId="5AD2C429" wp14:editId="35032678">
                <wp:simplePos x="0" y="0"/>
                <wp:positionH relativeFrom="column">
                  <wp:posOffset>-109855</wp:posOffset>
                </wp:positionH>
                <wp:positionV relativeFrom="topMargin">
                  <wp:posOffset>9354185</wp:posOffset>
                </wp:positionV>
                <wp:extent cx="5981700" cy="121348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1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BF519" w14:textId="7BAB4D5F" w:rsidR="0096382F" w:rsidRPr="00960EA9" w:rsidRDefault="0096382F" w:rsidP="00960EA9">
                            <w:pPr>
                              <w:pStyle w:val="Heading4"/>
                            </w:pPr>
                            <w:r w:rsidRPr="009C5D62">
                              <w:t xml:space="preserve">© Queensland Competition Authority </w:t>
                            </w:r>
                            <w:r>
                              <w:fldChar w:fldCharType="begin"/>
                            </w:r>
                            <w:r>
                              <w:instrText xml:space="preserve"> CREATEDATE  \@ "yyyy"  \* MERGEFORMAT </w:instrText>
                            </w:r>
                            <w:r>
                              <w:fldChar w:fldCharType="separate"/>
                            </w:r>
                            <w:r>
                              <w:rPr>
                                <w:noProof/>
                              </w:rPr>
                              <w:t>2021</w:t>
                            </w:r>
                            <w:r>
                              <w:fldChar w:fldCharType="end"/>
                            </w:r>
                          </w:p>
                          <w:p w14:paraId="4EF67BF3" w14:textId="77777777" w:rsidR="0096382F" w:rsidRPr="00E05D30" w:rsidRDefault="0096382F" w:rsidP="00D81BB3">
                            <w:pPr>
                              <w:pStyle w:val="Disclaimer"/>
                              <w:rPr>
                                <w:color w:val="595959" w:themeColor="text1" w:themeTint="A6"/>
                              </w:rPr>
                            </w:pPr>
                            <w:r w:rsidRPr="00E05D30">
                              <w:rPr>
                                <w:color w:val="595959" w:themeColor="text1" w:themeTint="A6"/>
                              </w:rPr>
                              <w:t xml:space="preserve">The Queensland Competition Authority supports and encourages the dissemination and exchange of information.  </w:t>
                            </w:r>
                            <w:r w:rsidRPr="00E05D30">
                              <w:rPr>
                                <w:color w:val="595959" w:themeColor="text1" w:themeTint="A6"/>
                              </w:rPr>
                              <w:br/>
                              <w:t>However, copyright protects this document.</w:t>
                            </w:r>
                          </w:p>
                          <w:p w14:paraId="60FDF823" w14:textId="77777777" w:rsidR="0096382F" w:rsidRPr="00E05D30" w:rsidRDefault="0096382F" w:rsidP="00D81BB3">
                            <w:pPr>
                              <w:pStyle w:val="Disclaimer"/>
                              <w:rPr>
                                <w:color w:val="595959" w:themeColor="text1" w:themeTint="A6"/>
                              </w:rPr>
                            </w:pPr>
                            <w:r w:rsidRPr="00E05D30">
                              <w:rPr>
                                <w:color w:val="595959" w:themeColor="text1" w:themeTint="A6"/>
                              </w:rPr>
                              <w:t xml:space="preserve">The Queensland Competition Authority has no objection to this material being reproduced, made available online </w:t>
                            </w:r>
                            <w:r w:rsidRPr="00E05D30">
                              <w:rPr>
                                <w:color w:val="595959" w:themeColor="text1" w:themeTint="A6"/>
                              </w:rPr>
                              <w:br/>
                              <w:t>or electronically but only if it is recognised as the owner of the copyright and this material remains unaltered.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2C429" id="_x0000_t202" coordsize="21600,21600" o:spt="202" path="m,l,21600r21600,l21600,xe">
                <v:stroke joinstyle="miter"/>
                <v:path gradientshapeok="t" o:connecttype="rect"/>
              </v:shapetype>
              <v:shape id="Text Box 9" o:spid="_x0000_s1026" type="#_x0000_t202" style="position:absolute;margin-left:-8.65pt;margin-top:736.55pt;width:471pt;height:9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" stroked="f">
                <v:textbox>
                  <w:txbxContent>
                    <w:p w14:paraId="1AFBF519" w14:textId="7BAB4D5F" w:rsidR="0096382F" w:rsidRPr="00960EA9" w:rsidRDefault="0096382F" w:rsidP="00960EA9">
                      <w:pPr>
                        <w:pStyle w:val="Heading4"/>
                      </w:pPr>
                      <w:r w:rsidRPr="009C5D62">
                        <w:t xml:space="preserve">© Queensland Competition Authority </w:t>
                      </w:r>
                      <w:r>
                        <w:fldChar w:fldCharType="begin"/>
                      </w:r>
                      <w:r>
                        <w:instrText xml:space="preserve"> CREATEDATE  \@ "yyyy"  \* MERGEFORMAT </w:instrText>
                      </w:r>
                      <w:r>
                        <w:fldChar w:fldCharType="separate"/>
                      </w:r>
                      <w:r>
                        <w:rPr>
                          <w:noProof/>
                        </w:rPr>
                        <w:t>2021</w:t>
                      </w:r>
                      <w:r>
                        <w:fldChar w:fldCharType="end"/>
                      </w:r>
                    </w:p>
                    <w:p w14:paraId="4EF67BF3" w14:textId="77777777" w:rsidR="0096382F" w:rsidRPr="00E05D30" w:rsidRDefault="0096382F" w:rsidP="00D81BB3">
                      <w:pPr>
                        <w:pStyle w:val="Disclaimer"/>
                        <w:rPr>
                          <w:color w:val="595959" w:themeColor="text1" w:themeTint="A6"/>
                        </w:rPr>
                      </w:pPr>
                      <w:r w:rsidRPr="00E05D30">
                        <w:rPr>
                          <w:color w:val="595959" w:themeColor="text1" w:themeTint="A6"/>
                        </w:rPr>
                        <w:t xml:space="preserve">The Queensland Competition Authority supports and encourages the dissemination and exchange of information.  </w:t>
                      </w:r>
                      <w:r w:rsidRPr="00E05D30">
                        <w:rPr>
                          <w:color w:val="595959" w:themeColor="text1" w:themeTint="A6"/>
                        </w:rPr>
                        <w:br/>
                        <w:t>However, copyright protects this document.</w:t>
                      </w:r>
                    </w:p>
                    <w:p w14:paraId="60FDF823" w14:textId="77777777" w:rsidR="0096382F" w:rsidRPr="00E05D30" w:rsidRDefault="0096382F" w:rsidP="00D81BB3">
                      <w:pPr>
                        <w:pStyle w:val="Disclaimer"/>
                        <w:rPr>
                          <w:color w:val="595959" w:themeColor="text1" w:themeTint="A6"/>
                        </w:rPr>
                      </w:pPr>
                      <w:r w:rsidRPr="00E05D30">
                        <w:rPr>
                          <w:color w:val="595959" w:themeColor="text1" w:themeTint="A6"/>
                        </w:rPr>
                        <w:t xml:space="preserve">The Queensland Competition Authority has no objection to this material being reproduced, made available online </w:t>
                      </w:r>
                      <w:r w:rsidRPr="00E05D30">
                        <w:rPr>
                          <w:color w:val="595959" w:themeColor="text1" w:themeTint="A6"/>
                        </w:rPr>
                        <w:br/>
                        <w:t>or electronically but only if it is recognised as the owner of the copyright and this material remains unaltered.</w:t>
                      </w:r>
                    </w:p>
                  </w:txbxContent>
                </v:textbox>
                <w10:wrap anchory="margin"/>
              </v:shape>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BA2148" w:rsidRPr="00DD5579">
        <w:rPr>
          <w:color w:val="FFFFFF" w:themeColor="background1"/>
        </w:rPr>
        <w:br w:type="page"/>
      </w:r>
      <w:bookmarkStart w:id="28" w:name="_Toc395607305"/>
      <w:bookmarkStart w:id="29" w:name="_Toc424542092"/>
    </w:p>
    <w:p w14:paraId="32B07E9F" w14:textId="77777777" w:rsidR="006C7AAD" w:rsidRDefault="002614F4">
      <w:pPr>
        <w:pStyle w:val="Heading2"/>
      </w:pPr>
      <w:bookmarkStart w:id="30" w:name="_Toc424542270"/>
      <w:bookmarkStart w:id="31" w:name="_Toc424544700"/>
      <w:bookmarkStart w:id="32" w:name="_Toc424638763"/>
      <w:bookmarkStart w:id="33" w:name="_Toc424722414"/>
      <w:bookmarkStart w:id="34" w:name="_Toc424823628"/>
      <w:bookmarkStart w:id="35" w:name="_Toc426446970"/>
      <w:bookmarkStart w:id="36" w:name="_Toc426447166"/>
      <w:bookmarkStart w:id="37" w:name="_Toc426450209"/>
      <w:bookmarkStart w:id="38" w:name="_Toc426538276"/>
      <w:bookmarkStart w:id="39" w:name="_Toc426985832"/>
      <w:bookmarkStart w:id="40" w:name="_Toc427050800"/>
      <w:bookmarkStart w:id="41" w:name="_Toc428256735"/>
      <w:bookmarkStart w:id="42" w:name="_Toc456357653"/>
      <w:bookmarkStart w:id="43" w:name="_Toc456700106"/>
      <w:bookmarkStart w:id="44" w:name="_Toc487532121"/>
      <w:bookmarkStart w:id="45" w:name="_Toc487611725"/>
      <w:bookmarkStart w:id="46" w:name="_Toc487614498"/>
      <w:bookmarkStart w:id="47" w:name="_Toc487623467"/>
      <w:bookmarkStart w:id="48" w:name="_Toc520281746"/>
      <w:bookmarkStart w:id="49" w:name="_Toc520282140"/>
      <w:bookmarkStart w:id="50" w:name="_Toc14439658"/>
      <w:bookmarkStart w:id="51" w:name="_Toc15640680"/>
      <w:bookmarkStart w:id="52" w:name="_Toc46830664"/>
      <w:bookmarkStart w:id="53" w:name="_Toc47088870"/>
      <w:bookmarkStart w:id="54" w:name="_Toc47347934"/>
      <w:bookmarkStart w:id="55" w:name="_Toc47689411"/>
      <w:bookmarkStart w:id="56" w:name="_Toc47689665"/>
      <w:bookmarkStart w:id="57" w:name="_Toc48117189"/>
      <w:bookmarkStart w:id="58" w:name="_Toc48119580"/>
      <w:bookmarkStart w:id="59" w:name="_Toc50103761"/>
      <w:bookmarkStart w:id="60" w:name="_Toc78532642"/>
      <w:bookmarkStart w:id="61" w:name="_Toc78532818"/>
      <w:bookmarkStart w:id="62" w:name="_Toc79506679"/>
      <w:bookmarkStart w:id="63" w:name="_Toc79657584"/>
      <w:bookmarkStart w:id="64" w:name="_Toc80792941"/>
      <w:r w:rsidRPr="00B47700">
        <w:lastRenderedPageBreak/>
        <w:t>Content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81FA5EA" w14:textId="12F8E905" w:rsidR="0001748A" w:rsidRDefault="0001748A" w:rsidP="001A2067"/>
    <w:p w14:paraId="72103330" w14:textId="77777777" w:rsidR="008A7BD9" w:rsidRPr="001A2067" w:rsidRDefault="008A7BD9" w:rsidP="001A2067">
      <w:pPr>
        <w:sectPr w:rsidR="008A7BD9" w:rsidRPr="001A2067" w:rsidSect="004058E9">
          <w:type w:val="continuous"/>
          <w:pgSz w:w="11907" w:h="16840" w:code="9"/>
          <w:pgMar w:top="1361" w:right="851" w:bottom="1814" w:left="1814" w:header="284" w:footer="170" w:gutter="0"/>
          <w:pgNumType w:fmt="lowerRoman" w:start="1"/>
          <w:cols w:num="2" w:space="708"/>
          <w:docGrid w:linePitch="360"/>
        </w:sectPr>
      </w:pPr>
    </w:p>
    <w:p w14:paraId="0A000942" w14:textId="7AF5A00A" w:rsidR="007225F9" w:rsidRDefault="005C7EE7" w:rsidP="00D32A8B">
      <w:pPr>
        <w:pStyle w:val="TOC1"/>
        <w:rPr>
          <w:rFonts w:eastAsiaTheme="minorEastAsia"/>
          <w:sz w:val="22"/>
          <w:szCs w:val="22"/>
          <w:lang w:eastAsia="en-AU"/>
        </w:rPr>
      </w:pPr>
      <w:r w:rsidRPr="008546D3">
        <w:fldChar w:fldCharType="begin"/>
      </w:r>
      <w:r w:rsidR="005905D9" w:rsidRPr="008546D3">
        <w:instrText xml:space="preserve"> TOC \o "1-2" \h \z \u </w:instrText>
      </w:r>
      <w:r w:rsidRPr="008546D3">
        <w:fldChar w:fldCharType="separate"/>
      </w:r>
      <w:hyperlink w:anchor="_Toc80792942" w:history="1">
        <w:r w:rsidR="007225F9" w:rsidRPr="00C9163B">
          <w:rPr>
            <w:rStyle w:val="Hyperlink"/>
          </w:rPr>
          <w:t>Highlights</w:t>
        </w:r>
        <w:r w:rsidR="007225F9">
          <w:rPr>
            <w:webHidden/>
          </w:rPr>
          <w:tab/>
        </w:r>
        <w:r w:rsidR="007225F9">
          <w:rPr>
            <w:webHidden/>
          </w:rPr>
          <w:fldChar w:fldCharType="begin"/>
        </w:r>
        <w:r w:rsidR="007225F9">
          <w:rPr>
            <w:webHidden/>
          </w:rPr>
          <w:instrText xml:space="preserve"> PAGEREF _Toc80792942 \h </w:instrText>
        </w:r>
        <w:r w:rsidR="007225F9">
          <w:rPr>
            <w:webHidden/>
          </w:rPr>
        </w:r>
        <w:r w:rsidR="007225F9">
          <w:rPr>
            <w:webHidden/>
          </w:rPr>
          <w:fldChar w:fldCharType="separate"/>
        </w:r>
        <w:r w:rsidR="00D0045B">
          <w:rPr>
            <w:webHidden/>
          </w:rPr>
          <w:t>1</w:t>
        </w:r>
        <w:r w:rsidR="007225F9">
          <w:rPr>
            <w:webHidden/>
          </w:rPr>
          <w:fldChar w:fldCharType="end"/>
        </w:r>
      </w:hyperlink>
    </w:p>
    <w:p w14:paraId="3E6FE572" w14:textId="130D2D6F" w:rsidR="007225F9" w:rsidRDefault="00C44E1C" w:rsidP="00D32A8B">
      <w:pPr>
        <w:pStyle w:val="TOC1"/>
        <w:rPr>
          <w:rFonts w:eastAsiaTheme="minorEastAsia"/>
          <w:sz w:val="22"/>
          <w:szCs w:val="22"/>
          <w:lang w:eastAsia="en-AU"/>
        </w:rPr>
      </w:pPr>
      <w:hyperlink w:anchor="_Toc80792943" w:history="1">
        <w:r w:rsidR="007225F9" w:rsidRPr="00C9163B">
          <w:rPr>
            <w:rStyle w:val="Hyperlink"/>
          </w:rPr>
          <w:t>About us</w:t>
        </w:r>
        <w:r w:rsidR="007225F9">
          <w:rPr>
            <w:webHidden/>
          </w:rPr>
          <w:tab/>
        </w:r>
        <w:r w:rsidR="007225F9">
          <w:rPr>
            <w:webHidden/>
          </w:rPr>
          <w:fldChar w:fldCharType="begin"/>
        </w:r>
        <w:r w:rsidR="007225F9">
          <w:rPr>
            <w:webHidden/>
          </w:rPr>
          <w:instrText xml:space="preserve"> PAGEREF _Toc80792943 \h </w:instrText>
        </w:r>
        <w:r w:rsidR="007225F9">
          <w:rPr>
            <w:webHidden/>
          </w:rPr>
        </w:r>
        <w:r w:rsidR="007225F9">
          <w:rPr>
            <w:webHidden/>
          </w:rPr>
          <w:fldChar w:fldCharType="separate"/>
        </w:r>
        <w:r w:rsidR="00D0045B">
          <w:rPr>
            <w:webHidden/>
          </w:rPr>
          <w:t>2</w:t>
        </w:r>
        <w:r w:rsidR="007225F9">
          <w:rPr>
            <w:webHidden/>
          </w:rPr>
          <w:fldChar w:fldCharType="end"/>
        </w:r>
      </w:hyperlink>
    </w:p>
    <w:p w14:paraId="65C2104B" w14:textId="156C98D5" w:rsidR="007225F9" w:rsidRDefault="00C44E1C" w:rsidP="007225F9">
      <w:pPr>
        <w:pStyle w:val="TOC2"/>
        <w:rPr>
          <w:rFonts w:eastAsiaTheme="minorEastAsia"/>
          <w:sz w:val="22"/>
          <w:lang w:eastAsia="en-AU"/>
        </w:rPr>
      </w:pPr>
      <w:hyperlink w:anchor="_Toc80792944" w:history="1">
        <w:r w:rsidR="007225F9" w:rsidRPr="00C9163B">
          <w:rPr>
            <w:rStyle w:val="Hyperlink"/>
          </w:rPr>
          <w:t>Economic context</w:t>
        </w:r>
        <w:r w:rsidR="007225F9">
          <w:rPr>
            <w:webHidden/>
          </w:rPr>
          <w:tab/>
        </w:r>
        <w:r w:rsidR="007225F9">
          <w:rPr>
            <w:webHidden/>
          </w:rPr>
          <w:fldChar w:fldCharType="begin"/>
        </w:r>
        <w:r w:rsidR="007225F9">
          <w:rPr>
            <w:webHidden/>
          </w:rPr>
          <w:instrText xml:space="preserve"> PAGEREF _Toc80792944 \h </w:instrText>
        </w:r>
        <w:r w:rsidR="007225F9">
          <w:rPr>
            <w:webHidden/>
          </w:rPr>
        </w:r>
        <w:r w:rsidR="007225F9">
          <w:rPr>
            <w:webHidden/>
          </w:rPr>
          <w:fldChar w:fldCharType="separate"/>
        </w:r>
        <w:r w:rsidR="00D0045B">
          <w:rPr>
            <w:webHidden/>
          </w:rPr>
          <w:t>2</w:t>
        </w:r>
        <w:r w:rsidR="007225F9">
          <w:rPr>
            <w:webHidden/>
          </w:rPr>
          <w:fldChar w:fldCharType="end"/>
        </w:r>
      </w:hyperlink>
    </w:p>
    <w:p w14:paraId="60F7EAD4" w14:textId="1B9F6778" w:rsidR="007225F9" w:rsidRDefault="00C44E1C" w:rsidP="007225F9">
      <w:pPr>
        <w:pStyle w:val="TOC2"/>
        <w:rPr>
          <w:rFonts w:eastAsiaTheme="minorEastAsia"/>
          <w:sz w:val="22"/>
          <w:lang w:eastAsia="en-AU"/>
        </w:rPr>
      </w:pPr>
      <w:hyperlink w:anchor="_Toc80792945" w:history="1">
        <w:r w:rsidR="007225F9" w:rsidRPr="00C9163B">
          <w:rPr>
            <w:rStyle w:val="Hyperlink"/>
          </w:rPr>
          <w:t>Our board</w:t>
        </w:r>
        <w:r w:rsidR="007225F9">
          <w:rPr>
            <w:webHidden/>
          </w:rPr>
          <w:tab/>
        </w:r>
        <w:r w:rsidR="007225F9">
          <w:rPr>
            <w:webHidden/>
          </w:rPr>
          <w:fldChar w:fldCharType="begin"/>
        </w:r>
        <w:r w:rsidR="007225F9">
          <w:rPr>
            <w:webHidden/>
          </w:rPr>
          <w:instrText xml:space="preserve"> PAGEREF _Toc80792945 \h </w:instrText>
        </w:r>
        <w:r w:rsidR="007225F9">
          <w:rPr>
            <w:webHidden/>
          </w:rPr>
        </w:r>
        <w:r w:rsidR="007225F9">
          <w:rPr>
            <w:webHidden/>
          </w:rPr>
          <w:fldChar w:fldCharType="separate"/>
        </w:r>
        <w:r w:rsidR="00D0045B">
          <w:rPr>
            <w:webHidden/>
          </w:rPr>
          <w:t>4</w:t>
        </w:r>
        <w:r w:rsidR="007225F9">
          <w:rPr>
            <w:webHidden/>
          </w:rPr>
          <w:fldChar w:fldCharType="end"/>
        </w:r>
      </w:hyperlink>
    </w:p>
    <w:p w14:paraId="21F8C233" w14:textId="4D51333F" w:rsidR="007225F9" w:rsidRDefault="00C44E1C" w:rsidP="007225F9">
      <w:pPr>
        <w:pStyle w:val="TOC2"/>
        <w:rPr>
          <w:rFonts w:eastAsiaTheme="minorEastAsia"/>
          <w:sz w:val="22"/>
          <w:lang w:eastAsia="en-AU"/>
        </w:rPr>
      </w:pPr>
      <w:hyperlink w:anchor="_Toc80792946" w:history="1">
        <w:r w:rsidR="007225F9" w:rsidRPr="00C9163B">
          <w:rPr>
            <w:rStyle w:val="Hyperlink"/>
          </w:rPr>
          <w:t>Senior staff</w:t>
        </w:r>
        <w:r w:rsidR="007225F9">
          <w:rPr>
            <w:webHidden/>
          </w:rPr>
          <w:tab/>
        </w:r>
        <w:r w:rsidR="007225F9">
          <w:rPr>
            <w:webHidden/>
          </w:rPr>
          <w:fldChar w:fldCharType="begin"/>
        </w:r>
        <w:r w:rsidR="007225F9">
          <w:rPr>
            <w:webHidden/>
          </w:rPr>
          <w:instrText xml:space="preserve"> PAGEREF _Toc80792946 \h </w:instrText>
        </w:r>
        <w:r w:rsidR="007225F9">
          <w:rPr>
            <w:webHidden/>
          </w:rPr>
        </w:r>
        <w:r w:rsidR="007225F9">
          <w:rPr>
            <w:webHidden/>
          </w:rPr>
          <w:fldChar w:fldCharType="separate"/>
        </w:r>
        <w:r w:rsidR="00D0045B">
          <w:rPr>
            <w:webHidden/>
          </w:rPr>
          <w:t>5</w:t>
        </w:r>
        <w:r w:rsidR="007225F9">
          <w:rPr>
            <w:webHidden/>
          </w:rPr>
          <w:fldChar w:fldCharType="end"/>
        </w:r>
      </w:hyperlink>
    </w:p>
    <w:p w14:paraId="5F3EE9AE" w14:textId="3F27CAC2" w:rsidR="007225F9" w:rsidRDefault="00C44E1C" w:rsidP="007225F9">
      <w:pPr>
        <w:pStyle w:val="TOC2"/>
        <w:rPr>
          <w:rFonts w:eastAsiaTheme="minorEastAsia"/>
          <w:sz w:val="22"/>
          <w:lang w:eastAsia="en-AU"/>
        </w:rPr>
      </w:pPr>
      <w:hyperlink w:anchor="_Toc80792947" w:history="1">
        <w:r w:rsidR="007225F9" w:rsidRPr="00C9163B">
          <w:rPr>
            <w:rStyle w:val="Hyperlink"/>
          </w:rPr>
          <w:t>Chair’s introduction</w:t>
        </w:r>
        <w:r w:rsidR="007225F9">
          <w:rPr>
            <w:webHidden/>
          </w:rPr>
          <w:tab/>
        </w:r>
        <w:r w:rsidR="007225F9">
          <w:rPr>
            <w:webHidden/>
          </w:rPr>
          <w:fldChar w:fldCharType="begin"/>
        </w:r>
        <w:r w:rsidR="007225F9">
          <w:rPr>
            <w:webHidden/>
          </w:rPr>
          <w:instrText xml:space="preserve"> PAGEREF _Toc80792947 \h </w:instrText>
        </w:r>
        <w:r w:rsidR="007225F9">
          <w:rPr>
            <w:webHidden/>
          </w:rPr>
        </w:r>
        <w:r w:rsidR="007225F9">
          <w:rPr>
            <w:webHidden/>
          </w:rPr>
          <w:fldChar w:fldCharType="separate"/>
        </w:r>
        <w:r w:rsidR="00D0045B">
          <w:rPr>
            <w:webHidden/>
          </w:rPr>
          <w:t>8</w:t>
        </w:r>
        <w:r w:rsidR="007225F9">
          <w:rPr>
            <w:webHidden/>
          </w:rPr>
          <w:fldChar w:fldCharType="end"/>
        </w:r>
      </w:hyperlink>
    </w:p>
    <w:p w14:paraId="0B97992C" w14:textId="749A4A44" w:rsidR="007225F9" w:rsidRDefault="00C44E1C" w:rsidP="007225F9">
      <w:pPr>
        <w:pStyle w:val="TOC2"/>
        <w:rPr>
          <w:rFonts w:eastAsiaTheme="minorEastAsia"/>
          <w:sz w:val="22"/>
          <w:lang w:eastAsia="en-AU"/>
        </w:rPr>
      </w:pPr>
      <w:hyperlink w:anchor="_Toc80792948" w:history="1">
        <w:r w:rsidR="007225F9" w:rsidRPr="00C9163B">
          <w:rPr>
            <w:rStyle w:val="Hyperlink"/>
          </w:rPr>
          <w:t>CEO’s message</w:t>
        </w:r>
        <w:r w:rsidR="007225F9">
          <w:rPr>
            <w:webHidden/>
          </w:rPr>
          <w:tab/>
        </w:r>
        <w:r w:rsidR="007225F9">
          <w:rPr>
            <w:webHidden/>
          </w:rPr>
          <w:fldChar w:fldCharType="begin"/>
        </w:r>
        <w:r w:rsidR="007225F9">
          <w:rPr>
            <w:webHidden/>
          </w:rPr>
          <w:instrText xml:space="preserve"> PAGEREF _Toc80792948 \h </w:instrText>
        </w:r>
        <w:r w:rsidR="007225F9">
          <w:rPr>
            <w:webHidden/>
          </w:rPr>
        </w:r>
        <w:r w:rsidR="007225F9">
          <w:rPr>
            <w:webHidden/>
          </w:rPr>
          <w:fldChar w:fldCharType="separate"/>
        </w:r>
        <w:r w:rsidR="00D0045B">
          <w:rPr>
            <w:webHidden/>
          </w:rPr>
          <w:t>9</w:t>
        </w:r>
        <w:r w:rsidR="007225F9">
          <w:rPr>
            <w:webHidden/>
          </w:rPr>
          <w:fldChar w:fldCharType="end"/>
        </w:r>
      </w:hyperlink>
    </w:p>
    <w:p w14:paraId="51DBE21C" w14:textId="5E201214" w:rsidR="007225F9" w:rsidRDefault="00C44E1C" w:rsidP="00D32A8B">
      <w:pPr>
        <w:pStyle w:val="TOC1"/>
        <w:rPr>
          <w:rFonts w:eastAsiaTheme="minorEastAsia"/>
          <w:sz w:val="22"/>
          <w:szCs w:val="22"/>
          <w:lang w:eastAsia="en-AU"/>
        </w:rPr>
      </w:pPr>
      <w:hyperlink w:anchor="_Toc80792949" w:history="1">
        <w:r w:rsidR="007225F9" w:rsidRPr="00C9163B">
          <w:rPr>
            <w:rStyle w:val="Hyperlink"/>
          </w:rPr>
          <w:t>Projects in 2020–21</w:t>
        </w:r>
        <w:r w:rsidR="007225F9">
          <w:rPr>
            <w:webHidden/>
          </w:rPr>
          <w:tab/>
        </w:r>
        <w:r w:rsidR="007225F9">
          <w:rPr>
            <w:webHidden/>
          </w:rPr>
          <w:fldChar w:fldCharType="begin"/>
        </w:r>
        <w:r w:rsidR="007225F9">
          <w:rPr>
            <w:webHidden/>
          </w:rPr>
          <w:instrText xml:space="preserve"> PAGEREF _Toc80792949 \h </w:instrText>
        </w:r>
        <w:r w:rsidR="007225F9">
          <w:rPr>
            <w:webHidden/>
          </w:rPr>
        </w:r>
        <w:r w:rsidR="007225F9">
          <w:rPr>
            <w:webHidden/>
          </w:rPr>
          <w:fldChar w:fldCharType="separate"/>
        </w:r>
        <w:r w:rsidR="00D0045B">
          <w:rPr>
            <w:webHidden/>
          </w:rPr>
          <w:t>11</w:t>
        </w:r>
        <w:r w:rsidR="007225F9">
          <w:rPr>
            <w:webHidden/>
          </w:rPr>
          <w:fldChar w:fldCharType="end"/>
        </w:r>
      </w:hyperlink>
    </w:p>
    <w:p w14:paraId="3046011E" w14:textId="0F628161" w:rsidR="007225F9" w:rsidRDefault="00C44E1C" w:rsidP="007225F9">
      <w:pPr>
        <w:pStyle w:val="TOC2"/>
        <w:rPr>
          <w:rFonts w:eastAsiaTheme="minorEastAsia"/>
          <w:sz w:val="22"/>
          <w:lang w:eastAsia="en-AU"/>
        </w:rPr>
      </w:pPr>
      <w:hyperlink w:anchor="_Toc80792951" w:history="1">
        <w:r w:rsidR="007225F9" w:rsidRPr="00C9163B">
          <w:rPr>
            <w:rStyle w:val="Hyperlink"/>
          </w:rPr>
          <w:t>Retail electricity prices 2020–21: supplementary tariffs</w:t>
        </w:r>
        <w:r w:rsidR="007225F9">
          <w:rPr>
            <w:webHidden/>
          </w:rPr>
          <w:tab/>
        </w:r>
        <w:r w:rsidR="007225F9">
          <w:rPr>
            <w:webHidden/>
          </w:rPr>
          <w:fldChar w:fldCharType="begin"/>
        </w:r>
        <w:r w:rsidR="007225F9">
          <w:rPr>
            <w:webHidden/>
          </w:rPr>
          <w:instrText xml:space="preserve"> PAGEREF _Toc80792951 \h </w:instrText>
        </w:r>
        <w:r w:rsidR="007225F9">
          <w:rPr>
            <w:webHidden/>
          </w:rPr>
        </w:r>
        <w:r w:rsidR="007225F9">
          <w:rPr>
            <w:webHidden/>
          </w:rPr>
          <w:fldChar w:fldCharType="separate"/>
        </w:r>
        <w:r w:rsidR="00D0045B">
          <w:rPr>
            <w:webHidden/>
          </w:rPr>
          <w:t>12</w:t>
        </w:r>
        <w:r w:rsidR="007225F9">
          <w:rPr>
            <w:webHidden/>
          </w:rPr>
          <w:fldChar w:fldCharType="end"/>
        </w:r>
      </w:hyperlink>
    </w:p>
    <w:p w14:paraId="08A5B272" w14:textId="510A203B" w:rsidR="007225F9" w:rsidRDefault="00C44E1C" w:rsidP="007225F9">
      <w:pPr>
        <w:pStyle w:val="TOC2"/>
        <w:rPr>
          <w:rFonts w:eastAsiaTheme="minorEastAsia"/>
          <w:sz w:val="22"/>
          <w:lang w:eastAsia="en-AU"/>
        </w:rPr>
      </w:pPr>
      <w:hyperlink w:anchor="_Toc80792952" w:history="1">
        <w:r w:rsidR="007225F9" w:rsidRPr="00C9163B">
          <w:rPr>
            <w:rStyle w:val="Hyperlink"/>
          </w:rPr>
          <w:t>Retail electricity prices 2021–22</w:t>
        </w:r>
        <w:r w:rsidR="007225F9">
          <w:rPr>
            <w:webHidden/>
          </w:rPr>
          <w:tab/>
        </w:r>
        <w:r w:rsidR="007225F9">
          <w:rPr>
            <w:webHidden/>
          </w:rPr>
          <w:fldChar w:fldCharType="begin"/>
        </w:r>
        <w:r w:rsidR="007225F9">
          <w:rPr>
            <w:webHidden/>
          </w:rPr>
          <w:instrText xml:space="preserve"> PAGEREF _Toc80792952 \h </w:instrText>
        </w:r>
        <w:r w:rsidR="007225F9">
          <w:rPr>
            <w:webHidden/>
          </w:rPr>
        </w:r>
        <w:r w:rsidR="007225F9">
          <w:rPr>
            <w:webHidden/>
          </w:rPr>
          <w:fldChar w:fldCharType="separate"/>
        </w:r>
        <w:r w:rsidR="00D0045B">
          <w:rPr>
            <w:webHidden/>
          </w:rPr>
          <w:t>12</w:t>
        </w:r>
        <w:r w:rsidR="007225F9">
          <w:rPr>
            <w:webHidden/>
          </w:rPr>
          <w:fldChar w:fldCharType="end"/>
        </w:r>
      </w:hyperlink>
    </w:p>
    <w:p w14:paraId="57BB6B05" w14:textId="0C8367E8" w:rsidR="007225F9" w:rsidRDefault="00C44E1C" w:rsidP="007225F9">
      <w:pPr>
        <w:pStyle w:val="TOC2"/>
        <w:rPr>
          <w:rFonts w:eastAsiaTheme="minorEastAsia"/>
          <w:sz w:val="22"/>
          <w:lang w:eastAsia="en-AU"/>
        </w:rPr>
      </w:pPr>
      <w:hyperlink w:anchor="_Toc80792953" w:history="1">
        <w:r w:rsidR="007225F9" w:rsidRPr="00C9163B">
          <w:rPr>
            <w:rStyle w:val="Hyperlink"/>
          </w:rPr>
          <w:t>Schedule 8 review (Electricity Regulation 2006)</w:t>
        </w:r>
        <w:r w:rsidR="007225F9">
          <w:rPr>
            <w:webHidden/>
          </w:rPr>
          <w:tab/>
        </w:r>
        <w:r w:rsidR="007225F9">
          <w:rPr>
            <w:webHidden/>
          </w:rPr>
          <w:fldChar w:fldCharType="begin"/>
        </w:r>
        <w:r w:rsidR="007225F9">
          <w:rPr>
            <w:webHidden/>
          </w:rPr>
          <w:instrText xml:space="preserve"> PAGEREF _Toc80792953 \h </w:instrText>
        </w:r>
        <w:r w:rsidR="007225F9">
          <w:rPr>
            <w:webHidden/>
          </w:rPr>
        </w:r>
        <w:r w:rsidR="007225F9">
          <w:rPr>
            <w:webHidden/>
          </w:rPr>
          <w:fldChar w:fldCharType="separate"/>
        </w:r>
        <w:r w:rsidR="00D0045B">
          <w:rPr>
            <w:webHidden/>
          </w:rPr>
          <w:t>12</w:t>
        </w:r>
        <w:r w:rsidR="007225F9">
          <w:rPr>
            <w:webHidden/>
          </w:rPr>
          <w:fldChar w:fldCharType="end"/>
        </w:r>
      </w:hyperlink>
    </w:p>
    <w:p w14:paraId="4C059414" w14:textId="2835D50C" w:rsidR="007225F9" w:rsidRDefault="00C44E1C" w:rsidP="007225F9">
      <w:pPr>
        <w:pStyle w:val="TOC2"/>
        <w:rPr>
          <w:rFonts w:eastAsiaTheme="minorEastAsia"/>
          <w:sz w:val="22"/>
          <w:lang w:eastAsia="en-AU"/>
        </w:rPr>
      </w:pPr>
      <w:hyperlink w:anchor="_Toc80792954" w:history="1">
        <w:r w:rsidR="007225F9" w:rsidRPr="00C9163B">
          <w:rPr>
            <w:rStyle w:val="Hyperlink"/>
            <w:caps/>
          </w:rPr>
          <w:t xml:space="preserve">SEQ </w:t>
        </w:r>
        <w:r w:rsidR="007225F9" w:rsidRPr="00C9163B">
          <w:rPr>
            <w:rStyle w:val="Hyperlink"/>
          </w:rPr>
          <w:t>electricity market monitoring</w:t>
        </w:r>
        <w:r w:rsidR="007225F9">
          <w:rPr>
            <w:webHidden/>
          </w:rPr>
          <w:tab/>
        </w:r>
        <w:r w:rsidR="007225F9">
          <w:rPr>
            <w:webHidden/>
          </w:rPr>
          <w:fldChar w:fldCharType="begin"/>
        </w:r>
        <w:r w:rsidR="007225F9">
          <w:rPr>
            <w:webHidden/>
          </w:rPr>
          <w:instrText xml:space="preserve"> PAGEREF _Toc80792954 \h </w:instrText>
        </w:r>
        <w:r w:rsidR="007225F9">
          <w:rPr>
            <w:webHidden/>
          </w:rPr>
        </w:r>
        <w:r w:rsidR="007225F9">
          <w:rPr>
            <w:webHidden/>
          </w:rPr>
          <w:fldChar w:fldCharType="separate"/>
        </w:r>
        <w:r w:rsidR="00D0045B">
          <w:rPr>
            <w:webHidden/>
          </w:rPr>
          <w:t>12</w:t>
        </w:r>
        <w:r w:rsidR="007225F9">
          <w:rPr>
            <w:webHidden/>
          </w:rPr>
          <w:fldChar w:fldCharType="end"/>
        </w:r>
      </w:hyperlink>
    </w:p>
    <w:p w14:paraId="0D0EA760" w14:textId="343AF5D1" w:rsidR="007225F9" w:rsidRDefault="00C44E1C" w:rsidP="007225F9">
      <w:pPr>
        <w:pStyle w:val="TOC2"/>
        <w:rPr>
          <w:rFonts w:eastAsiaTheme="minorEastAsia"/>
          <w:sz w:val="22"/>
          <w:lang w:eastAsia="en-AU"/>
        </w:rPr>
      </w:pPr>
      <w:hyperlink w:anchor="_Toc80792955" w:history="1">
        <w:r w:rsidR="007225F9" w:rsidRPr="00C9163B">
          <w:rPr>
            <w:rStyle w:val="Hyperlink"/>
          </w:rPr>
          <w:t>Seqwater bulk water pricing 2022–26</w:t>
        </w:r>
        <w:r w:rsidR="007225F9">
          <w:rPr>
            <w:webHidden/>
          </w:rPr>
          <w:tab/>
        </w:r>
        <w:r w:rsidR="007225F9">
          <w:rPr>
            <w:webHidden/>
          </w:rPr>
          <w:fldChar w:fldCharType="begin"/>
        </w:r>
        <w:r w:rsidR="007225F9">
          <w:rPr>
            <w:webHidden/>
          </w:rPr>
          <w:instrText xml:space="preserve"> PAGEREF _Toc80792955 \h </w:instrText>
        </w:r>
        <w:r w:rsidR="007225F9">
          <w:rPr>
            <w:webHidden/>
          </w:rPr>
        </w:r>
        <w:r w:rsidR="007225F9">
          <w:rPr>
            <w:webHidden/>
          </w:rPr>
          <w:fldChar w:fldCharType="separate"/>
        </w:r>
        <w:r w:rsidR="00D0045B">
          <w:rPr>
            <w:webHidden/>
          </w:rPr>
          <w:t>13</w:t>
        </w:r>
        <w:r w:rsidR="007225F9">
          <w:rPr>
            <w:webHidden/>
          </w:rPr>
          <w:fldChar w:fldCharType="end"/>
        </w:r>
      </w:hyperlink>
    </w:p>
    <w:p w14:paraId="0637B4C4" w14:textId="54F51F34" w:rsidR="007225F9" w:rsidRDefault="00C44E1C" w:rsidP="007225F9">
      <w:pPr>
        <w:pStyle w:val="TOC2"/>
        <w:rPr>
          <w:rFonts w:eastAsiaTheme="minorEastAsia"/>
          <w:sz w:val="22"/>
          <w:lang w:eastAsia="en-AU"/>
        </w:rPr>
      </w:pPr>
      <w:hyperlink w:anchor="_Toc80792956" w:history="1">
        <w:r w:rsidR="007225F9" w:rsidRPr="00C9163B">
          <w:rPr>
            <w:rStyle w:val="Hyperlink"/>
          </w:rPr>
          <w:t>Access undertakings</w:t>
        </w:r>
        <w:r w:rsidR="007225F9">
          <w:rPr>
            <w:webHidden/>
          </w:rPr>
          <w:tab/>
        </w:r>
        <w:r w:rsidR="007225F9">
          <w:rPr>
            <w:webHidden/>
          </w:rPr>
          <w:fldChar w:fldCharType="begin"/>
        </w:r>
        <w:r w:rsidR="007225F9">
          <w:rPr>
            <w:webHidden/>
          </w:rPr>
          <w:instrText xml:space="preserve"> PAGEREF _Toc80792956 \h </w:instrText>
        </w:r>
        <w:r w:rsidR="007225F9">
          <w:rPr>
            <w:webHidden/>
          </w:rPr>
        </w:r>
        <w:r w:rsidR="007225F9">
          <w:rPr>
            <w:webHidden/>
          </w:rPr>
          <w:fldChar w:fldCharType="separate"/>
        </w:r>
        <w:r w:rsidR="00D0045B">
          <w:rPr>
            <w:webHidden/>
          </w:rPr>
          <w:t>13</w:t>
        </w:r>
        <w:r w:rsidR="007225F9">
          <w:rPr>
            <w:webHidden/>
          </w:rPr>
          <w:fldChar w:fldCharType="end"/>
        </w:r>
      </w:hyperlink>
    </w:p>
    <w:p w14:paraId="221E8119" w14:textId="5ABAE448" w:rsidR="007225F9" w:rsidRDefault="00C44E1C" w:rsidP="007225F9">
      <w:pPr>
        <w:pStyle w:val="TOC2"/>
        <w:rPr>
          <w:rFonts w:eastAsiaTheme="minorEastAsia"/>
          <w:sz w:val="22"/>
          <w:lang w:eastAsia="en-AU"/>
        </w:rPr>
      </w:pPr>
      <w:hyperlink w:anchor="_Toc80792957" w:history="1">
        <w:r w:rsidR="007225F9" w:rsidRPr="00C9163B">
          <w:rPr>
            <w:rStyle w:val="Hyperlink"/>
          </w:rPr>
          <w:t>Product development</w:t>
        </w:r>
        <w:r w:rsidR="007225F9">
          <w:rPr>
            <w:webHidden/>
          </w:rPr>
          <w:tab/>
        </w:r>
        <w:r w:rsidR="007225F9">
          <w:rPr>
            <w:webHidden/>
          </w:rPr>
          <w:fldChar w:fldCharType="begin"/>
        </w:r>
        <w:r w:rsidR="007225F9">
          <w:rPr>
            <w:webHidden/>
          </w:rPr>
          <w:instrText xml:space="preserve"> PAGEREF _Toc80792957 \h </w:instrText>
        </w:r>
        <w:r w:rsidR="007225F9">
          <w:rPr>
            <w:webHidden/>
          </w:rPr>
        </w:r>
        <w:r w:rsidR="007225F9">
          <w:rPr>
            <w:webHidden/>
          </w:rPr>
          <w:fldChar w:fldCharType="separate"/>
        </w:r>
        <w:r w:rsidR="00D0045B">
          <w:rPr>
            <w:webHidden/>
          </w:rPr>
          <w:t>15</w:t>
        </w:r>
        <w:r w:rsidR="007225F9">
          <w:rPr>
            <w:webHidden/>
          </w:rPr>
          <w:fldChar w:fldCharType="end"/>
        </w:r>
      </w:hyperlink>
    </w:p>
    <w:p w14:paraId="074B50E9" w14:textId="4ED4888E" w:rsidR="007225F9" w:rsidRDefault="00C44E1C" w:rsidP="007225F9">
      <w:pPr>
        <w:pStyle w:val="TOC2"/>
        <w:rPr>
          <w:rFonts w:eastAsiaTheme="minorEastAsia"/>
          <w:sz w:val="22"/>
          <w:lang w:eastAsia="en-AU"/>
        </w:rPr>
      </w:pPr>
      <w:hyperlink w:anchor="_Toc80792958" w:history="1">
        <w:r w:rsidR="007225F9" w:rsidRPr="00C9163B">
          <w:rPr>
            <w:rStyle w:val="Hyperlink"/>
          </w:rPr>
          <w:t>Ongoing regulatory work</w:t>
        </w:r>
        <w:r w:rsidR="007225F9">
          <w:rPr>
            <w:webHidden/>
          </w:rPr>
          <w:tab/>
        </w:r>
        <w:r w:rsidR="007225F9">
          <w:rPr>
            <w:webHidden/>
          </w:rPr>
          <w:fldChar w:fldCharType="begin"/>
        </w:r>
        <w:r w:rsidR="007225F9">
          <w:rPr>
            <w:webHidden/>
          </w:rPr>
          <w:instrText xml:space="preserve"> PAGEREF _Toc80792958 \h </w:instrText>
        </w:r>
        <w:r w:rsidR="007225F9">
          <w:rPr>
            <w:webHidden/>
          </w:rPr>
        </w:r>
        <w:r w:rsidR="007225F9">
          <w:rPr>
            <w:webHidden/>
          </w:rPr>
          <w:fldChar w:fldCharType="separate"/>
        </w:r>
        <w:r w:rsidR="00D0045B">
          <w:rPr>
            <w:webHidden/>
          </w:rPr>
          <w:t>16</w:t>
        </w:r>
        <w:r w:rsidR="007225F9">
          <w:rPr>
            <w:webHidden/>
          </w:rPr>
          <w:fldChar w:fldCharType="end"/>
        </w:r>
      </w:hyperlink>
    </w:p>
    <w:p w14:paraId="6F6BB04A" w14:textId="4A8786BA" w:rsidR="007225F9" w:rsidRDefault="00C44E1C" w:rsidP="00D32A8B">
      <w:pPr>
        <w:pStyle w:val="TOC1"/>
        <w:rPr>
          <w:rFonts w:eastAsiaTheme="minorEastAsia"/>
          <w:sz w:val="22"/>
          <w:szCs w:val="22"/>
          <w:lang w:eastAsia="en-AU"/>
        </w:rPr>
      </w:pPr>
      <w:hyperlink w:anchor="_Toc80792959" w:history="1">
        <w:r w:rsidR="007225F9" w:rsidRPr="00C9163B">
          <w:rPr>
            <w:rStyle w:val="Hyperlink"/>
          </w:rPr>
          <w:t>Corporate matters</w:t>
        </w:r>
        <w:r w:rsidR="007225F9">
          <w:rPr>
            <w:webHidden/>
          </w:rPr>
          <w:tab/>
        </w:r>
        <w:r w:rsidR="007225F9">
          <w:rPr>
            <w:webHidden/>
          </w:rPr>
          <w:fldChar w:fldCharType="begin"/>
        </w:r>
        <w:r w:rsidR="007225F9">
          <w:rPr>
            <w:webHidden/>
          </w:rPr>
          <w:instrText xml:space="preserve"> PAGEREF _Toc80792959 \h </w:instrText>
        </w:r>
        <w:r w:rsidR="007225F9">
          <w:rPr>
            <w:webHidden/>
          </w:rPr>
        </w:r>
        <w:r w:rsidR="007225F9">
          <w:rPr>
            <w:webHidden/>
          </w:rPr>
          <w:fldChar w:fldCharType="separate"/>
        </w:r>
        <w:r w:rsidR="00D0045B">
          <w:rPr>
            <w:webHidden/>
          </w:rPr>
          <w:t>17</w:t>
        </w:r>
        <w:r w:rsidR="007225F9">
          <w:rPr>
            <w:webHidden/>
          </w:rPr>
          <w:fldChar w:fldCharType="end"/>
        </w:r>
      </w:hyperlink>
    </w:p>
    <w:p w14:paraId="5308251E" w14:textId="4C4870ED" w:rsidR="007225F9" w:rsidRDefault="00C44E1C" w:rsidP="007225F9">
      <w:pPr>
        <w:pStyle w:val="TOC2"/>
        <w:rPr>
          <w:rFonts w:eastAsiaTheme="minorEastAsia"/>
          <w:sz w:val="22"/>
          <w:lang w:eastAsia="en-AU"/>
        </w:rPr>
      </w:pPr>
      <w:hyperlink w:anchor="_Toc80792961" w:history="1">
        <w:r w:rsidR="007225F9" w:rsidRPr="00C9163B">
          <w:rPr>
            <w:rStyle w:val="Hyperlink"/>
          </w:rPr>
          <w:t>Corporate governance</w:t>
        </w:r>
        <w:r w:rsidR="007225F9">
          <w:rPr>
            <w:webHidden/>
          </w:rPr>
          <w:tab/>
        </w:r>
        <w:r w:rsidR="007225F9">
          <w:rPr>
            <w:webHidden/>
          </w:rPr>
          <w:fldChar w:fldCharType="begin"/>
        </w:r>
        <w:r w:rsidR="007225F9">
          <w:rPr>
            <w:webHidden/>
          </w:rPr>
          <w:instrText xml:space="preserve"> PAGEREF _Toc80792961 \h </w:instrText>
        </w:r>
        <w:r w:rsidR="007225F9">
          <w:rPr>
            <w:webHidden/>
          </w:rPr>
        </w:r>
        <w:r w:rsidR="007225F9">
          <w:rPr>
            <w:webHidden/>
          </w:rPr>
          <w:fldChar w:fldCharType="separate"/>
        </w:r>
        <w:r w:rsidR="00D0045B">
          <w:rPr>
            <w:webHidden/>
          </w:rPr>
          <w:t>18</w:t>
        </w:r>
        <w:r w:rsidR="007225F9">
          <w:rPr>
            <w:webHidden/>
          </w:rPr>
          <w:fldChar w:fldCharType="end"/>
        </w:r>
      </w:hyperlink>
    </w:p>
    <w:p w14:paraId="7A84CFF4" w14:textId="12210865" w:rsidR="007225F9" w:rsidRDefault="00C44E1C" w:rsidP="007225F9">
      <w:pPr>
        <w:pStyle w:val="TOC2"/>
        <w:rPr>
          <w:rFonts w:eastAsiaTheme="minorEastAsia"/>
          <w:sz w:val="22"/>
          <w:lang w:eastAsia="en-AU"/>
        </w:rPr>
      </w:pPr>
      <w:hyperlink w:anchor="_Toc80792962" w:history="1">
        <w:r w:rsidR="007225F9" w:rsidRPr="00C9163B">
          <w:rPr>
            <w:rStyle w:val="Hyperlink"/>
          </w:rPr>
          <w:t>Projects undertaken in 2020–21</w:t>
        </w:r>
        <w:r w:rsidR="007225F9">
          <w:rPr>
            <w:webHidden/>
          </w:rPr>
          <w:tab/>
        </w:r>
        <w:r w:rsidR="007225F9">
          <w:rPr>
            <w:webHidden/>
          </w:rPr>
          <w:fldChar w:fldCharType="begin"/>
        </w:r>
        <w:r w:rsidR="007225F9">
          <w:rPr>
            <w:webHidden/>
          </w:rPr>
          <w:instrText xml:space="preserve"> PAGEREF _Toc80792962 \h </w:instrText>
        </w:r>
        <w:r w:rsidR="007225F9">
          <w:rPr>
            <w:webHidden/>
          </w:rPr>
        </w:r>
        <w:r w:rsidR="007225F9">
          <w:rPr>
            <w:webHidden/>
          </w:rPr>
          <w:fldChar w:fldCharType="separate"/>
        </w:r>
        <w:r w:rsidR="00D0045B">
          <w:rPr>
            <w:webHidden/>
          </w:rPr>
          <w:t>22</w:t>
        </w:r>
        <w:r w:rsidR="007225F9">
          <w:rPr>
            <w:webHidden/>
          </w:rPr>
          <w:fldChar w:fldCharType="end"/>
        </w:r>
      </w:hyperlink>
    </w:p>
    <w:p w14:paraId="542ABE99" w14:textId="184BCB6F" w:rsidR="007225F9" w:rsidRDefault="00C44E1C" w:rsidP="007225F9">
      <w:pPr>
        <w:pStyle w:val="TOC2"/>
        <w:rPr>
          <w:rFonts w:eastAsiaTheme="minorEastAsia"/>
          <w:sz w:val="22"/>
          <w:lang w:eastAsia="en-AU"/>
        </w:rPr>
      </w:pPr>
      <w:hyperlink w:anchor="_Toc80792963" w:history="1">
        <w:r w:rsidR="007225F9" w:rsidRPr="00C9163B">
          <w:rPr>
            <w:rStyle w:val="Hyperlink"/>
          </w:rPr>
          <w:t>Our people and workforce profile</w:t>
        </w:r>
        <w:r w:rsidR="007225F9">
          <w:rPr>
            <w:webHidden/>
          </w:rPr>
          <w:tab/>
        </w:r>
        <w:r w:rsidR="007225F9">
          <w:rPr>
            <w:webHidden/>
          </w:rPr>
          <w:fldChar w:fldCharType="begin"/>
        </w:r>
        <w:r w:rsidR="007225F9">
          <w:rPr>
            <w:webHidden/>
          </w:rPr>
          <w:instrText xml:space="preserve"> PAGEREF _Toc80792963 \h </w:instrText>
        </w:r>
        <w:r w:rsidR="007225F9">
          <w:rPr>
            <w:webHidden/>
          </w:rPr>
        </w:r>
        <w:r w:rsidR="007225F9">
          <w:rPr>
            <w:webHidden/>
          </w:rPr>
          <w:fldChar w:fldCharType="separate"/>
        </w:r>
        <w:r w:rsidR="00D0045B">
          <w:rPr>
            <w:webHidden/>
          </w:rPr>
          <w:t>28</w:t>
        </w:r>
        <w:r w:rsidR="007225F9">
          <w:rPr>
            <w:webHidden/>
          </w:rPr>
          <w:fldChar w:fldCharType="end"/>
        </w:r>
      </w:hyperlink>
    </w:p>
    <w:p w14:paraId="06DED046" w14:textId="2EC81267" w:rsidR="007225F9" w:rsidRDefault="00C44E1C" w:rsidP="00D32A8B">
      <w:pPr>
        <w:pStyle w:val="TOC1"/>
        <w:rPr>
          <w:rFonts w:eastAsiaTheme="minorEastAsia"/>
          <w:sz w:val="22"/>
          <w:szCs w:val="22"/>
          <w:lang w:eastAsia="en-AU"/>
        </w:rPr>
      </w:pPr>
      <w:hyperlink w:anchor="_Toc80792964" w:history="1">
        <w:r w:rsidR="007225F9" w:rsidRPr="00C9163B">
          <w:rPr>
            <w:rStyle w:val="Hyperlink"/>
          </w:rPr>
          <w:t>Our publications</w:t>
        </w:r>
        <w:r w:rsidR="007225F9">
          <w:rPr>
            <w:webHidden/>
          </w:rPr>
          <w:tab/>
        </w:r>
        <w:r w:rsidR="007225F9">
          <w:rPr>
            <w:webHidden/>
          </w:rPr>
          <w:fldChar w:fldCharType="begin"/>
        </w:r>
        <w:r w:rsidR="007225F9">
          <w:rPr>
            <w:webHidden/>
          </w:rPr>
          <w:instrText xml:space="preserve"> PAGEREF _Toc80792964 \h </w:instrText>
        </w:r>
        <w:r w:rsidR="007225F9">
          <w:rPr>
            <w:webHidden/>
          </w:rPr>
        </w:r>
        <w:r w:rsidR="007225F9">
          <w:rPr>
            <w:webHidden/>
          </w:rPr>
          <w:fldChar w:fldCharType="separate"/>
        </w:r>
        <w:r w:rsidR="00D0045B">
          <w:rPr>
            <w:webHidden/>
          </w:rPr>
          <w:t>32</w:t>
        </w:r>
        <w:r w:rsidR="007225F9">
          <w:rPr>
            <w:webHidden/>
          </w:rPr>
          <w:fldChar w:fldCharType="end"/>
        </w:r>
      </w:hyperlink>
    </w:p>
    <w:p w14:paraId="2CE8B4FE" w14:textId="4C76D248" w:rsidR="007225F9" w:rsidRDefault="00C44E1C" w:rsidP="007225F9">
      <w:pPr>
        <w:pStyle w:val="TOC2"/>
        <w:rPr>
          <w:rFonts w:eastAsiaTheme="minorEastAsia"/>
          <w:sz w:val="22"/>
          <w:lang w:eastAsia="en-AU"/>
        </w:rPr>
      </w:pPr>
      <w:hyperlink w:anchor="_Toc80792965" w:history="1">
        <w:r w:rsidR="007225F9" w:rsidRPr="00C9163B">
          <w:rPr>
            <w:rStyle w:val="Hyperlink"/>
          </w:rPr>
          <w:t>Publications released and submissions received</w:t>
        </w:r>
        <w:r w:rsidR="007225F9">
          <w:rPr>
            <w:webHidden/>
          </w:rPr>
          <w:tab/>
        </w:r>
        <w:r w:rsidR="007225F9">
          <w:rPr>
            <w:webHidden/>
          </w:rPr>
          <w:fldChar w:fldCharType="begin"/>
        </w:r>
        <w:r w:rsidR="007225F9">
          <w:rPr>
            <w:webHidden/>
          </w:rPr>
          <w:instrText xml:space="preserve"> PAGEREF _Toc80792965 \h </w:instrText>
        </w:r>
        <w:r w:rsidR="007225F9">
          <w:rPr>
            <w:webHidden/>
          </w:rPr>
        </w:r>
        <w:r w:rsidR="007225F9">
          <w:rPr>
            <w:webHidden/>
          </w:rPr>
          <w:fldChar w:fldCharType="separate"/>
        </w:r>
        <w:r w:rsidR="00D0045B">
          <w:rPr>
            <w:webHidden/>
          </w:rPr>
          <w:t>32</w:t>
        </w:r>
        <w:r w:rsidR="007225F9">
          <w:rPr>
            <w:webHidden/>
          </w:rPr>
          <w:fldChar w:fldCharType="end"/>
        </w:r>
      </w:hyperlink>
    </w:p>
    <w:p w14:paraId="76744A83" w14:textId="056DFE55" w:rsidR="007225F9" w:rsidRDefault="00C44E1C" w:rsidP="00D32A8B">
      <w:pPr>
        <w:pStyle w:val="TOC1"/>
        <w:rPr>
          <w:rFonts w:eastAsiaTheme="minorEastAsia"/>
          <w:sz w:val="22"/>
          <w:szCs w:val="22"/>
          <w:lang w:eastAsia="en-AU"/>
        </w:rPr>
      </w:pPr>
      <w:hyperlink w:anchor="_Toc80792966" w:history="1">
        <w:r w:rsidR="007225F9" w:rsidRPr="00C9163B">
          <w:rPr>
            <w:rStyle w:val="Hyperlink"/>
          </w:rPr>
          <w:t>Financial statements</w:t>
        </w:r>
        <w:r w:rsidR="007225F9">
          <w:rPr>
            <w:webHidden/>
          </w:rPr>
          <w:tab/>
        </w:r>
        <w:r w:rsidR="007225F9">
          <w:rPr>
            <w:webHidden/>
          </w:rPr>
          <w:fldChar w:fldCharType="begin"/>
        </w:r>
        <w:r w:rsidR="007225F9">
          <w:rPr>
            <w:webHidden/>
          </w:rPr>
          <w:instrText xml:space="preserve"> PAGEREF _Toc80792966 \h </w:instrText>
        </w:r>
        <w:r w:rsidR="007225F9">
          <w:rPr>
            <w:webHidden/>
          </w:rPr>
        </w:r>
        <w:r w:rsidR="007225F9">
          <w:rPr>
            <w:webHidden/>
          </w:rPr>
          <w:fldChar w:fldCharType="separate"/>
        </w:r>
        <w:r w:rsidR="00D0045B">
          <w:rPr>
            <w:webHidden/>
          </w:rPr>
          <w:t>37</w:t>
        </w:r>
        <w:r w:rsidR="007225F9">
          <w:rPr>
            <w:webHidden/>
          </w:rPr>
          <w:fldChar w:fldCharType="end"/>
        </w:r>
      </w:hyperlink>
    </w:p>
    <w:p w14:paraId="665B866A" w14:textId="67C2C51D" w:rsidR="007225F9" w:rsidRDefault="00C44E1C" w:rsidP="007225F9">
      <w:pPr>
        <w:pStyle w:val="TOC2"/>
        <w:rPr>
          <w:rFonts w:eastAsiaTheme="minorEastAsia"/>
          <w:sz w:val="22"/>
          <w:lang w:eastAsia="en-AU"/>
        </w:rPr>
      </w:pPr>
      <w:hyperlink w:anchor="_Toc80792967" w:history="1">
        <w:r w:rsidR="007225F9" w:rsidRPr="00C9163B">
          <w:rPr>
            <w:rStyle w:val="Hyperlink"/>
          </w:rPr>
          <w:t>Statement of comprehensive income</w:t>
        </w:r>
        <w:r w:rsidR="007225F9">
          <w:rPr>
            <w:webHidden/>
          </w:rPr>
          <w:tab/>
        </w:r>
        <w:r w:rsidR="007225F9">
          <w:rPr>
            <w:webHidden/>
          </w:rPr>
          <w:fldChar w:fldCharType="begin"/>
        </w:r>
        <w:r w:rsidR="007225F9">
          <w:rPr>
            <w:webHidden/>
          </w:rPr>
          <w:instrText xml:space="preserve"> PAGEREF _Toc80792967 \h </w:instrText>
        </w:r>
        <w:r w:rsidR="007225F9">
          <w:rPr>
            <w:webHidden/>
          </w:rPr>
        </w:r>
        <w:r w:rsidR="007225F9">
          <w:rPr>
            <w:webHidden/>
          </w:rPr>
          <w:fldChar w:fldCharType="separate"/>
        </w:r>
        <w:r w:rsidR="00D0045B">
          <w:rPr>
            <w:webHidden/>
          </w:rPr>
          <w:t>39</w:t>
        </w:r>
        <w:r w:rsidR="007225F9">
          <w:rPr>
            <w:webHidden/>
          </w:rPr>
          <w:fldChar w:fldCharType="end"/>
        </w:r>
      </w:hyperlink>
    </w:p>
    <w:p w14:paraId="6040700A" w14:textId="3610D941" w:rsidR="007225F9" w:rsidRDefault="00C44E1C" w:rsidP="007225F9">
      <w:pPr>
        <w:pStyle w:val="TOC2"/>
        <w:rPr>
          <w:rFonts w:eastAsiaTheme="minorEastAsia"/>
          <w:sz w:val="22"/>
          <w:lang w:eastAsia="en-AU"/>
        </w:rPr>
      </w:pPr>
      <w:hyperlink w:anchor="_Toc80792968" w:history="1">
        <w:r w:rsidR="007225F9" w:rsidRPr="00C9163B">
          <w:rPr>
            <w:rStyle w:val="Hyperlink"/>
          </w:rPr>
          <w:t>Statement of financial position</w:t>
        </w:r>
        <w:r w:rsidR="007225F9">
          <w:rPr>
            <w:webHidden/>
          </w:rPr>
          <w:tab/>
        </w:r>
        <w:r w:rsidR="007225F9">
          <w:rPr>
            <w:webHidden/>
          </w:rPr>
          <w:fldChar w:fldCharType="begin"/>
        </w:r>
        <w:r w:rsidR="007225F9">
          <w:rPr>
            <w:webHidden/>
          </w:rPr>
          <w:instrText xml:space="preserve"> PAGEREF _Toc80792968 \h </w:instrText>
        </w:r>
        <w:r w:rsidR="007225F9">
          <w:rPr>
            <w:webHidden/>
          </w:rPr>
        </w:r>
        <w:r w:rsidR="007225F9">
          <w:rPr>
            <w:webHidden/>
          </w:rPr>
          <w:fldChar w:fldCharType="separate"/>
        </w:r>
        <w:r w:rsidR="00D0045B">
          <w:rPr>
            <w:webHidden/>
          </w:rPr>
          <w:t>40</w:t>
        </w:r>
        <w:r w:rsidR="007225F9">
          <w:rPr>
            <w:webHidden/>
          </w:rPr>
          <w:fldChar w:fldCharType="end"/>
        </w:r>
      </w:hyperlink>
    </w:p>
    <w:p w14:paraId="2317202D" w14:textId="3F6B65C9" w:rsidR="007225F9" w:rsidRDefault="00C44E1C" w:rsidP="007225F9">
      <w:pPr>
        <w:pStyle w:val="TOC2"/>
        <w:rPr>
          <w:rFonts w:eastAsiaTheme="minorEastAsia"/>
          <w:sz w:val="22"/>
          <w:lang w:eastAsia="en-AU"/>
        </w:rPr>
      </w:pPr>
      <w:hyperlink w:anchor="_Toc80792969" w:history="1">
        <w:r w:rsidR="007225F9" w:rsidRPr="00C9163B">
          <w:rPr>
            <w:rStyle w:val="Hyperlink"/>
          </w:rPr>
          <w:t>Statement of changes in equity</w:t>
        </w:r>
        <w:r w:rsidR="007225F9">
          <w:rPr>
            <w:webHidden/>
          </w:rPr>
          <w:tab/>
        </w:r>
        <w:r w:rsidR="007225F9">
          <w:rPr>
            <w:webHidden/>
          </w:rPr>
          <w:fldChar w:fldCharType="begin"/>
        </w:r>
        <w:r w:rsidR="007225F9">
          <w:rPr>
            <w:webHidden/>
          </w:rPr>
          <w:instrText xml:space="preserve"> PAGEREF _Toc80792969 \h </w:instrText>
        </w:r>
        <w:r w:rsidR="007225F9">
          <w:rPr>
            <w:webHidden/>
          </w:rPr>
        </w:r>
        <w:r w:rsidR="007225F9">
          <w:rPr>
            <w:webHidden/>
          </w:rPr>
          <w:fldChar w:fldCharType="separate"/>
        </w:r>
        <w:r w:rsidR="00D0045B">
          <w:rPr>
            <w:webHidden/>
          </w:rPr>
          <w:t>41</w:t>
        </w:r>
        <w:r w:rsidR="007225F9">
          <w:rPr>
            <w:webHidden/>
          </w:rPr>
          <w:fldChar w:fldCharType="end"/>
        </w:r>
      </w:hyperlink>
    </w:p>
    <w:p w14:paraId="493A3171" w14:textId="162C9B53" w:rsidR="007225F9" w:rsidRDefault="00C44E1C" w:rsidP="007225F9">
      <w:pPr>
        <w:pStyle w:val="TOC2"/>
        <w:rPr>
          <w:rFonts w:eastAsiaTheme="minorEastAsia"/>
          <w:sz w:val="22"/>
          <w:lang w:eastAsia="en-AU"/>
        </w:rPr>
      </w:pPr>
      <w:hyperlink w:anchor="_Toc80792970" w:history="1">
        <w:r w:rsidR="007225F9" w:rsidRPr="00C9163B">
          <w:rPr>
            <w:rStyle w:val="Hyperlink"/>
          </w:rPr>
          <w:t>Statement of cash flows</w:t>
        </w:r>
        <w:r w:rsidR="007225F9">
          <w:rPr>
            <w:webHidden/>
          </w:rPr>
          <w:tab/>
        </w:r>
        <w:r w:rsidR="007225F9">
          <w:rPr>
            <w:webHidden/>
          </w:rPr>
          <w:fldChar w:fldCharType="begin"/>
        </w:r>
        <w:r w:rsidR="007225F9">
          <w:rPr>
            <w:webHidden/>
          </w:rPr>
          <w:instrText xml:space="preserve"> PAGEREF _Toc80792970 \h </w:instrText>
        </w:r>
        <w:r w:rsidR="007225F9">
          <w:rPr>
            <w:webHidden/>
          </w:rPr>
        </w:r>
        <w:r w:rsidR="007225F9">
          <w:rPr>
            <w:webHidden/>
          </w:rPr>
          <w:fldChar w:fldCharType="separate"/>
        </w:r>
        <w:r w:rsidR="00D0045B">
          <w:rPr>
            <w:webHidden/>
          </w:rPr>
          <w:t>42</w:t>
        </w:r>
        <w:r w:rsidR="007225F9">
          <w:rPr>
            <w:webHidden/>
          </w:rPr>
          <w:fldChar w:fldCharType="end"/>
        </w:r>
      </w:hyperlink>
    </w:p>
    <w:p w14:paraId="5887A6BF" w14:textId="484F87AF" w:rsidR="007225F9" w:rsidRDefault="00C44E1C" w:rsidP="007225F9">
      <w:pPr>
        <w:pStyle w:val="TOC2"/>
        <w:rPr>
          <w:rFonts w:eastAsiaTheme="minorEastAsia"/>
          <w:sz w:val="22"/>
          <w:lang w:eastAsia="en-AU"/>
        </w:rPr>
      </w:pPr>
      <w:hyperlink w:anchor="_Toc80792971" w:history="1">
        <w:r w:rsidR="007225F9" w:rsidRPr="00C9163B">
          <w:rPr>
            <w:rStyle w:val="Hyperlink"/>
          </w:rPr>
          <w:t>Notes to and forming part of the financial statements</w:t>
        </w:r>
        <w:r w:rsidR="007225F9">
          <w:rPr>
            <w:webHidden/>
          </w:rPr>
          <w:tab/>
        </w:r>
        <w:r w:rsidR="007225F9">
          <w:rPr>
            <w:webHidden/>
          </w:rPr>
          <w:fldChar w:fldCharType="begin"/>
        </w:r>
        <w:r w:rsidR="007225F9">
          <w:rPr>
            <w:webHidden/>
          </w:rPr>
          <w:instrText xml:space="preserve"> PAGEREF _Toc80792971 \h </w:instrText>
        </w:r>
        <w:r w:rsidR="007225F9">
          <w:rPr>
            <w:webHidden/>
          </w:rPr>
        </w:r>
        <w:r w:rsidR="007225F9">
          <w:rPr>
            <w:webHidden/>
          </w:rPr>
          <w:fldChar w:fldCharType="separate"/>
        </w:r>
        <w:r w:rsidR="00D0045B">
          <w:rPr>
            <w:webHidden/>
          </w:rPr>
          <w:t>43</w:t>
        </w:r>
        <w:r w:rsidR="007225F9">
          <w:rPr>
            <w:webHidden/>
          </w:rPr>
          <w:fldChar w:fldCharType="end"/>
        </w:r>
      </w:hyperlink>
    </w:p>
    <w:p w14:paraId="6714E066" w14:textId="2E1517D2" w:rsidR="007225F9" w:rsidRDefault="00C44E1C" w:rsidP="007225F9">
      <w:pPr>
        <w:pStyle w:val="TOC2"/>
        <w:rPr>
          <w:rFonts w:eastAsiaTheme="minorEastAsia"/>
          <w:sz w:val="22"/>
          <w:lang w:eastAsia="en-AU"/>
        </w:rPr>
      </w:pPr>
      <w:hyperlink w:anchor="_Toc80792972" w:history="1">
        <w:r w:rsidR="007225F9" w:rsidRPr="00C9163B">
          <w:rPr>
            <w:rStyle w:val="Hyperlink"/>
          </w:rPr>
          <w:t>Certificate of Queensland Competition Authority</w:t>
        </w:r>
        <w:r w:rsidR="007225F9">
          <w:rPr>
            <w:webHidden/>
          </w:rPr>
          <w:tab/>
        </w:r>
        <w:r w:rsidR="007225F9">
          <w:rPr>
            <w:webHidden/>
          </w:rPr>
          <w:fldChar w:fldCharType="begin"/>
        </w:r>
        <w:r w:rsidR="007225F9">
          <w:rPr>
            <w:webHidden/>
          </w:rPr>
          <w:instrText xml:space="preserve"> PAGEREF _Toc80792972 \h </w:instrText>
        </w:r>
        <w:r w:rsidR="007225F9">
          <w:rPr>
            <w:webHidden/>
          </w:rPr>
        </w:r>
        <w:r w:rsidR="007225F9">
          <w:rPr>
            <w:webHidden/>
          </w:rPr>
          <w:fldChar w:fldCharType="separate"/>
        </w:r>
        <w:r w:rsidR="00D0045B">
          <w:rPr>
            <w:webHidden/>
          </w:rPr>
          <w:t>53</w:t>
        </w:r>
        <w:r w:rsidR="007225F9">
          <w:rPr>
            <w:webHidden/>
          </w:rPr>
          <w:fldChar w:fldCharType="end"/>
        </w:r>
      </w:hyperlink>
    </w:p>
    <w:p w14:paraId="26F1A24A" w14:textId="7A3FA58F" w:rsidR="007225F9" w:rsidRDefault="00C44E1C" w:rsidP="007225F9">
      <w:pPr>
        <w:pStyle w:val="TOC2"/>
        <w:rPr>
          <w:rFonts w:eastAsiaTheme="minorEastAsia"/>
          <w:sz w:val="22"/>
          <w:lang w:eastAsia="en-AU"/>
        </w:rPr>
      </w:pPr>
      <w:hyperlink w:anchor="_Toc80792973" w:history="1">
        <w:r w:rsidR="007225F9" w:rsidRPr="00C9163B">
          <w:rPr>
            <w:rStyle w:val="Hyperlink"/>
          </w:rPr>
          <w:t>Independent auditor’s report</w:t>
        </w:r>
        <w:r w:rsidR="007225F9">
          <w:rPr>
            <w:webHidden/>
          </w:rPr>
          <w:tab/>
        </w:r>
        <w:r w:rsidR="007225F9">
          <w:rPr>
            <w:webHidden/>
          </w:rPr>
          <w:fldChar w:fldCharType="begin"/>
        </w:r>
        <w:r w:rsidR="007225F9">
          <w:rPr>
            <w:webHidden/>
          </w:rPr>
          <w:instrText xml:space="preserve"> PAGEREF _Toc80792973 \h </w:instrText>
        </w:r>
        <w:r w:rsidR="007225F9">
          <w:rPr>
            <w:webHidden/>
          </w:rPr>
        </w:r>
        <w:r w:rsidR="007225F9">
          <w:rPr>
            <w:webHidden/>
          </w:rPr>
          <w:fldChar w:fldCharType="separate"/>
        </w:r>
        <w:r w:rsidR="00D0045B">
          <w:rPr>
            <w:webHidden/>
          </w:rPr>
          <w:t>54</w:t>
        </w:r>
        <w:r w:rsidR="007225F9">
          <w:rPr>
            <w:webHidden/>
          </w:rPr>
          <w:fldChar w:fldCharType="end"/>
        </w:r>
      </w:hyperlink>
    </w:p>
    <w:p w14:paraId="1EEBC6AE" w14:textId="76BF49B8" w:rsidR="007225F9" w:rsidRDefault="00C44E1C" w:rsidP="00D32A8B">
      <w:pPr>
        <w:pStyle w:val="TOC1"/>
        <w:rPr>
          <w:rFonts w:eastAsiaTheme="minorEastAsia"/>
          <w:sz w:val="22"/>
          <w:szCs w:val="22"/>
          <w:lang w:eastAsia="en-AU"/>
        </w:rPr>
      </w:pPr>
      <w:hyperlink w:anchor="_Toc80792974" w:history="1">
        <w:r w:rsidR="007225F9" w:rsidRPr="00C9163B">
          <w:rPr>
            <w:rStyle w:val="Hyperlink"/>
          </w:rPr>
          <w:t>Glossary</w:t>
        </w:r>
        <w:r w:rsidR="007225F9">
          <w:rPr>
            <w:webHidden/>
          </w:rPr>
          <w:tab/>
        </w:r>
        <w:r w:rsidR="007225F9">
          <w:rPr>
            <w:webHidden/>
          </w:rPr>
          <w:fldChar w:fldCharType="begin"/>
        </w:r>
        <w:r w:rsidR="007225F9">
          <w:rPr>
            <w:webHidden/>
          </w:rPr>
          <w:instrText xml:space="preserve"> PAGEREF _Toc80792974 \h </w:instrText>
        </w:r>
        <w:r w:rsidR="007225F9">
          <w:rPr>
            <w:webHidden/>
          </w:rPr>
        </w:r>
        <w:r w:rsidR="007225F9">
          <w:rPr>
            <w:webHidden/>
          </w:rPr>
          <w:fldChar w:fldCharType="separate"/>
        </w:r>
        <w:r w:rsidR="00D0045B">
          <w:rPr>
            <w:webHidden/>
          </w:rPr>
          <w:t>57</w:t>
        </w:r>
        <w:r w:rsidR="007225F9">
          <w:rPr>
            <w:webHidden/>
          </w:rPr>
          <w:fldChar w:fldCharType="end"/>
        </w:r>
      </w:hyperlink>
    </w:p>
    <w:p w14:paraId="5631B3DD" w14:textId="237C11E7" w:rsidR="007225F9" w:rsidRDefault="00C44E1C" w:rsidP="00D32A8B">
      <w:pPr>
        <w:pStyle w:val="TOC1"/>
        <w:rPr>
          <w:rFonts w:eastAsiaTheme="minorEastAsia"/>
          <w:sz w:val="22"/>
          <w:szCs w:val="22"/>
          <w:lang w:eastAsia="en-AU"/>
        </w:rPr>
      </w:pPr>
      <w:hyperlink w:anchor="_Toc80792975" w:history="1">
        <w:r w:rsidR="007225F9" w:rsidRPr="00C9163B">
          <w:rPr>
            <w:rStyle w:val="Hyperlink"/>
          </w:rPr>
          <w:t>Appendices</w:t>
        </w:r>
        <w:r w:rsidR="007225F9">
          <w:rPr>
            <w:webHidden/>
          </w:rPr>
          <w:tab/>
        </w:r>
        <w:r w:rsidR="007225F9">
          <w:rPr>
            <w:webHidden/>
          </w:rPr>
          <w:fldChar w:fldCharType="begin"/>
        </w:r>
        <w:r w:rsidR="007225F9">
          <w:rPr>
            <w:webHidden/>
          </w:rPr>
          <w:instrText xml:space="preserve"> PAGEREF _Toc80792975 \h </w:instrText>
        </w:r>
        <w:r w:rsidR="007225F9">
          <w:rPr>
            <w:webHidden/>
          </w:rPr>
        </w:r>
        <w:r w:rsidR="007225F9">
          <w:rPr>
            <w:webHidden/>
          </w:rPr>
          <w:fldChar w:fldCharType="separate"/>
        </w:r>
        <w:r w:rsidR="00D0045B">
          <w:rPr>
            <w:webHidden/>
          </w:rPr>
          <w:t>58</w:t>
        </w:r>
        <w:r w:rsidR="007225F9">
          <w:rPr>
            <w:webHidden/>
          </w:rPr>
          <w:fldChar w:fldCharType="end"/>
        </w:r>
      </w:hyperlink>
    </w:p>
    <w:p w14:paraId="4BCDF708" w14:textId="69C7A0B5" w:rsidR="007225F9" w:rsidRDefault="00C44E1C" w:rsidP="007225F9">
      <w:pPr>
        <w:pStyle w:val="TOC2"/>
        <w:rPr>
          <w:rFonts w:eastAsiaTheme="minorEastAsia"/>
          <w:sz w:val="22"/>
          <w:lang w:eastAsia="en-AU"/>
        </w:rPr>
      </w:pPr>
      <w:hyperlink w:anchor="_Toc80792976" w:history="1">
        <w:r w:rsidR="007225F9" w:rsidRPr="00C9163B">
          <w:rPr>
            <w:rStyle w:val="Hyperlink"/>
          </w:rPr>
          <w:t>Appendix A: Letter of compliance</w:t>
        </w:r>
        <w:r w:rsidR="007225F9">
          <w:rPr>
            <w:webHidden/>
          </w:rPr>
          <w:tab/>
        </w:r>
        <w:r w:rsidR="007225F9">
          <w:rPr>
            <w:webHidden/>
          </w:rPr>
          <w:fldChar w:fldCharType="begin"/>
        </w:r>
        <w:r w:rsidR="007225F9">
          <w:rPr>
            <w:webHidden/>
          </w:rPr>
          <w:instrText xml:space="preserve"> PAGEREF _Toc80792976 \h </w:instrText>
        </w:r>
        <w:r w:rsidR="007225F9">
          <w:rPr>
            <w:webHidden/>
          </w:rPr>
        </w:r>
        <w:r w:rsidR="007225F9">
          <w:rPr>
            <w:webHidden/>
          </w:rPr>
          <w:fldChar w:fldCharType="separate"/>
        </w:r>
        <w:r w:rsidR="00D0045B">
          <w:rPr>
            <w:webHidden/>
          </w:rPr>
          <w:t>59</w:t>
        </w:r>
        <w:r w:rsidR="007225F9">
          <w:rPr>
            <w:webHidden/>
          </w:rPr>
          <w:fldChar w:fldCharType="end"/>
        </w:r>
      </w:hyperlink>
    </w:p>
    <w:p w14:paraId="378ACE44" w14:textId="2A6D3F22" w:rsidR="007225F9" w:rsidRDefault="00C44E1C" w:rsidP="007225F9">
      <w:pPr>
        <w:pStyle w:val="TOC2"/>
        <w:rPr>
          <w:rFonts w:eastAsiaTheme="minorEastAsia"/>
          <w:sz w:val="22"/>
          <w:lang w:eastAsia="en-AU"/>
        </w:rPr>
      </w:pPr>
      <w:hyperlink w:anchor="_Toc80792977" w:history="1">
        <w:r w:rsidR="007225F9" w:rsidRPr="00C9163B">
          <w:rPr>
            <w:rStyle w:val="Hyperlink"/>
          </w:rPr>
          <w:t>Appendix B: Compliance checklist</w:t>
        </w:r>
        <w:r w:rsidR="007225F9">
          <w:rPr>
            <w:webHidden/>
          </w:rPr>
          <w:tab/>
        </w:r>
        <w:r w:rsidR="007225F9">
          <w:rPr>
            <w:webHidden/>
          </w:rPr>
          <w:fldChar w:fldCharType="begin"/>
        </w:r>
        <w:r w:rsidR="007225F9">
          <w:rPr>
            <w:webHidden/>
          </w:rPr>
          <w:instrText xml:space="preserve"> PAGEREF _Toc80792977 \h </w:instrText>
        </w:r>
        <w:r w:rsidR="007225F9">
          <w:rPr>
            <w:webHidden/>
          </w:rPr>
        </w:r>
        <w:r w:rsidR="007225F9">
          <w:rPr>
            <w:webHidden/>
          </w:rPr>
          <w:fldChar w:fldCharType="separate"/>
        </w:r>
        <w:r w:rsidR="00D0045B">
          <w:rPr>
            <w:webHidden/>
          </w:rPr>
          <w:t>60</w:t>
        </w:r>
        <w:r w:rsidR="007225F9">
          <w:rPr>
            <w:webHidden/>
          </w:rPr>
          <w:fldChar w:fldCharType="end"/>
        </w:r>
      </w:hyperlink>
    </w:p>
    <w:p w14:paraId="6317D0CE" w14:textId="3C1BCD19" w:rsidR="007225F9" w:rsidRDefault="00C44E1C" w:rsidP="007225F9">
      <w:pPr>
        <w:pStyle w:val="TOC2"/>
        <w:rPr>
          <w:rFonts w:eastAsiaTheme="minorEastAsia"/>
          <w:sz w:val="22"/>
          <w:lang w:eastAsia="en-AU"/>
        </w:rPr>
      </w:pPr>
      <w:hyperlink w:anchor="_Toc80792978" w:history="1">
        <w:r w:rsidR="007225F9" w:rsidRPr="00C9163B">
          <w:rPr>
            <w:rStyle w:val="Hyperlink"/>
          </w:rPr>
          <w:t>Annual report access</w:t>
        </w:r>
        <w:r w:rsidR="007225F9">
          <w:rPr>
            <w:webHidden/>
          </w:rPr>
          <w:tab/>
        </w:r>
        <w:r w:rsidR="007225F9">
          <w:rPr>
            <w:webHidden/>
          </w:rPr>
          <w:fldChar w:fldCharType="begin"/>
        </w:r>
        <w:r w:rsidR="007225F9">
          <w:rPr>
            <w:webHidden/>
          </w:rPr>
          <w:instrText xml:space="preserve"> PAGEREF _Toc80792978 \h </w:instrText>
        </w:r>
        <w:r w:rsidR="007225F9">
          <w:rPr>
            <w:webHidden/>
          </w:rPr>
        </w:r>
        <w:r w:rsidR="007225F9">
          <w:rPr>
            <w:webHidden/>
          </w:rPr>
          <w:fldChar w:fldCharType="separate"/>
        </w:r>
        <w:r w:rsidR="00D0045B">
          <w:rPr>
            <w:webHidden/>
          </w:rPr>
          <w:t>62</w:t>
        </w:r>
        <w:r w:rsidR="007225F9">
          <w:rPr>
            <w:webHidden/>
          </w:rPr>
          <w:fldChar w:fldCharType="end"/>
        </w:r>
      </w:hyperlink>
    </w:p>
    <w:p w14:paraId="5A275F6A" w14:textId="4E8C9205" w:rsidR="007E2099" w:rsidRDefault="005C7EE7" w:rsidP="00D32A8B">
      <w:pPr>
        <w:pStyle w:val="TOC1"/>
      </w:pPr>
      <w:r w:rsidRPr="008546D3">
        <w:fldChar w:fldCharType="end"/>
      </w:r>
    </w:p>
    <w:p w14:paraId="33843DD9" w14:textId="77777777" w:rsidR="00CF37EE" w:rsidRDefault="00CF37EE" w:rsidP="00D32A8B">
      <w:pPr>
        <w:pStyle w:val="TOC1"/>
      </w:pPr>
    </w:p>
    <w:p w14:paraId="73458D96" w14:textId="77777777" w:rsidR="00CF37EE" w:rsidRDefault="00CF37EE" w:rsidP="00CF37EE"/>
    <w:p w14:paraId="4E55B8F0" w14:textId="77777777" w:rsidR="006B2FC2" w:rsidRDefault="006B2FC2" w:rsidP="00CF37EE"/>
    <w:p w14:paraId="49A4BC5C" w14:textId="77777777" w:rsidR="006B2FC2" w:rsidRDefault="006B2FC2" w:rsidP="00CF37EE"/>
    <w:p w14:paraId="1B17262A" w14:textId="77777777" w:rsidR="006B2FC2" w:rsidRDefault="006B2FC2" w:rsidP="00CF37EE"/>
    <w:p w14:paraId="7A3D2B9C" w14:textId="577191BA" w:rsidR="007C77FA" w:rsidRDefault="007C77FA" w:rsidP="00CF37EE"/>
    <w:p w14:paraId="3AF07997" w14:textId="3D0E366B" w:rsidR="00F808CE" w:rsidRDefault="00F808CE" w:rsidP="00CF37EE"/>
    <w:p w14:paraId="654A7DA3" w14:textId="3B04F259" w:rsidR="00F808CE" w:rsidRDefault="00F808CE" w:rsidP="00CF37EE"/>
    <w:p w14:paraId="7FEFAE1E" w14:textId="5F0BD5BE" w:rsidR="00F808CE" w:rsidRDefault="00F808CE" w:rsidP="00CF37EE"/>
    <w:p w14:paraId="6413C159" w14:textId="6FBDFBAE" w:rsidR="00F808CE" w:rsidRDefault="00F808CE" w:rsidP="00CF37EE"/>
    <w:p w14:paraId="666D27E3" w14:textId="3B17CEAA" w:rsidR="00F46BD5" w:rsidRDefault="00F46BD5" w:rsidP="00CF37EE"/>
    <w:p w14:paraId="1B6011FF" w14:textId="77777777" w:rsidR="00F46BD5" w:rsidRDefault="00F46BD5" w:rsidP="00CF37EE"/>
    <w:p w14:paraId="65C93C62" w14:textId="4D8F3E9F" w:rsidR="00F808CE" w:rsidRDefault="00F808CE" w:rsidP="00CF37EE"/>
    <w:p w14:paraId="0B622A8A" w14:textId="0B06E6B2" w:rsidR="00F808CE" w:rsidRDefault="00F808CE" w:rsidP="00CF37EE"/>
    <w:p w14:paraId="22CCF7BC" w14:textId="0898B60D" w:rsidR="00F808CE" w:rsidRDefault="00F808CE" w:rsidP="00CF37EE"/>
    <w:p w14:paraId="658CC971" w14:textId="552871F1" w:rsidR="00F808CE" w:rsidRDefault="00F808CE" w:rsidP="00CF37EE"/>
    <w:p w14:paraId="7CE77A23" w14:textId="57E9B54C" w:rsidR="009D4C94" w:rsidRPr="00E05D30" w:rsidRDefault="009D4C94" w:rsidP="005A3220">
      <w:pPr>
        <w:rPr>
          <w:color w:val="7F7F7F" w:themeColor="text1" w:themeTint="80"/>
        </w:rPr>
        <w:sectPr w:rsidR="009D4C94" w:rsidRPr="00E05D30" w:rsidSect="004058E9">
          <w:type w:val="continuous"/>
          <w:pgSz w:w="11907" w:h="16840" w:code="9"/>
          <w:pgMar w:top="1361" w:right="851" w:bottom="1814" w:left="1814" w:header="284" w:footer="170" w:gutter="0"/>
          <w:pgNumType w:fmt="lowerRoman" w:start="1"/>
          <w:cols w:num="2" w:space="708"/>
          <w:docGrid w:linePitch="360"/>
        </w:sectPr>
      </w:pPr>
    </w:p>
    <w:p w14:paraId="574591AA" w14:textId="77777777" w:rsidR="00980CBD" w:rsidRDefault="00980CBD" w:rsidP="008E556F">
      <w:pPr>
        <w:pStyle w:val="Heading2"/>
      </w:pPr>
    </w:p>
    <w:p w14:paraId="22F217D4" w14:textId="77777777" w:rsidR="00CF37EE" w:rsidRPr="00CF37EE" w:rsidRDefault="00CF37EE" w:rsidP="00CF37EE">
      <w:pPr>
        <w:pStyle w:val="QCABodyText"/>
      </w:pPr>
    </w:p>
    <w:p w14:paraId="3DE2E572" w14:textId="77777777" w:rsidR="00872358" w:rsidRDefault="00872358">
      <w:pPr>
        <w:pStyle w:val="QCABodyText"/>
      </w:pPr>
    </w:p>
    <w:p w14:paraId="448926FF" w14:textId="77777777" w:rsidR="00872358" w:rsidRDefault="00872358">
      <w:pPr>
        <w:pStyle w:val="QCABodyText"/>
      </w:pPr>
    </w:p>
    <w:p w14:paraId="5CA9E3A5" w14:textId="77777777" w:rsidR="00872358" w:rsidRDefault="00DE2B67" w:rsidP="00A96232">
      <w:pPr>
        <w:pStyle w:val="QCABodyText"/>
        <w:sectPr w:rsidR="00872358" w:rsidSect="004058E9">
          <w:footerReference w:type="even" r:id="rId17"/>
          <w:footerReference w:type="default" r:id="rId18"/>
          <w:type w:val="continuous"/>
          <w:pgSz w:w="11907" w:h="16840" w:code="9"/>
          <w:pgMar w:top="1361" w:right="851" w:bottom="1814" w:left="3969" w:header="284" w:footer="284" w:gutter="0"/>
          <w:pgNumType w:start="0"/>
          <w:cols w:space="708"/>
          <w:docGrid w:linePitch="360"/>
        </w:sectPr>
      </w:pPr>
      <w:r>
        <w:br w:type="page"/>
      </w:r>
    </w:p>
    <w:p w14:paraId="7C8F1711" w14:textId="21D04741" w:rsidR="00290C12" w:rsidRDefault="00C2371A" w:rsidP="00F37A66">
      <w:pPr>
        <w:pStyle w:val="Heading1"/>
        <w:pBdr>
          <w:bottom w:val="single" w:sz="4" w:space="1" w:color="auto"/>
        </w:pBdr>
      </w:pPr>
      <w:bookmarkStart w:id="65" w:name="_Toc487614499"/>
      <w:bookmarkStart w:id="66" w:name="_Toc520282141"/>
      <w:bookmarkStart w:id="67" w:name="_Toc80792942"/>
      <w:r>
        <w:lastRenderedPageBreak/>
        <w:t>Highlights</w:t>
      </w:r>
      <w:bookmarkEnd w:id="65"/>
      <w:bookmarkEnd w:id="66"/>
      <w:bookmarkEnd w:id="67"/>
    </w:p>
    <w:p w14:paraId="304CE0B9" w14:textId="1B9476AE" w:rsidR="00F56C4A" w:rsidRDefault="00C97D8C" w:rsidP="009B0C7A">
      <w:pPr>
        <w:pStyle w:val="QCABullet"/>
        <w:numPr>
          <w:ilvl w:val="0"/>
          <w:numId w:val="0"/>
        </w:numPr>
        <w:spacing w:before="360"/>
      </w:pPr>
      <w:r>
        <w:t>The</w:t>
      </w:r>
      <w:r w:rsidRPr="002F6405">
        <w:t xml:space="preserve"> </w:t>
      </w:r>
      <w:r w:rsidR="003D51CB" w:rsidRPr="002F6405">
        <w:t xml:space="preserve">body of work </w:t>
      </w:r>
      <w:r>
        <w:t xml:space="preserve">we </w:t>
      </w:r>
      <w:r w:rsidR="003D51CB" w:rsidRPr="002F6405">
        <w:t xml:space="preserve">completed this year </w:t>
      </w:r>
      <w:r w:rsidR="00BF7E5E" w:rsidRPr="002F6405">
        <w:t>include</w:t>
      </w:r>
      <w:r w:rsidR="00BF7E5E">
        <w:t>s</w:t>
      </w:r>
      <w:r w:rsidR="003D51CB" w:rsidRPr="002F6405">
        <w:t>:</w:t>
      </w:r>
    </w:p>
    <w:p w14:paraId="1DB7E7A9" w14:textId="77777777" w:rsidR="000E4074" w:rsidRDefault="000E4074" w:rsidP="003D51CB">
      <w:pPr>
        <w:pStyle w:val="QCABullet"/>
        <w:numPr>
          <w:ilvl w:val="0"/>
          <w:numId w:val="0"/>
        </w:numPr>
      </w:pPr>
    </w:p>
    <w:p w14:paraId="0C431EDC" w14:textId="603CEA6F" w:rsidR="004B2DB9" w:rsidRDefault="004B2DB9" w:rsidP="007D781B">
      <w:pPr>
        <w:pStyle w:val="QCABullet"/>
      </w:pPr>
      <w:r>
        <w:t>a final determination o</w:t>
      </w:r>
      <w:r w:rsidR="007D781B">
        <w:t>n</w:t>
      </w:r>
      <w:r>
        <w:t xml:space="preserve"> supplementary </w:t>
      </w:r>
      <w:r w:rsidR="007D781B">
        <w:t xml:space="preserve">regulated </w:t>
      </w:r>
      <w:r>
        <w:t xml:space="preserve">retail </w:t>
      </w:r>
      <w:r w:rsidR="004A258E">
        <w:t xml:space="preserve">electricity </w:t>
      </w:r>
      <w:r>
        <w:t xml:space="preserve">tariffs </w:t>
      </w:r>
      <w:r w:rsidR="004A258E">
        <w:t xml:space="preserve">and prices </w:t>
      </w:r>
      <w:r>
        <w:t>for 2020–21</w:t>
      </w:r>
      <w:r w:rsidR="007D781B">
        <w:t xml:space="preserve"> in regional Queensland</w:t>
      </w:r>
      <w:r>
        <w:t xml:space="preserve"> (page </w:t>
      </w:r>
      <w:r w:rsidR="0077534A">
        <w:t>12</w:t>
      </w:r>
      <w:r>
        <w:t>)</w:t>
      </w:r>
    </w:p>
    <w:p w14:paraId="785C1314" w14:textId="77777777" w:rsidR="004B2DB9" w:rsidRDefault="004B2DB9" w:rsidP="00241A24">
      <w:pPr>
        <w:pStyle w:val="QCABullet"/>
        <w:numPr>
          <w:ilvl w:val="0"/>
          <w:numId w:val="0"/>
        </w:numPr>
        <w:ind w:left="502" w:hanging="360"/>
      </w:pPr>
    </w:p>
    <w:p w14:paraId="54D630FA" w14:textId="1BFA8A74" w:rsidR="00CE4314" w:rsidRDefault="004B2DB9" w:rsidP="00AB20F5">
      <w:pPr>
        <w:pStyle w:val="QCABullet"/>
      </w:pPr>
      <w:r>
        <w:t>a final determination o</w:t>
      </w:r>
      <w:r w:rsidR="008D0E11">
        <w:t>n</w:t>
      </w:r>
      <w:r>
        <w:t xml:space="preserve"> regulated retail electricity prices for 2021–22 in regional Queensland (page </w:t>
      </w:r>
      <w:r w:rsidR="0077534A">
        <w:t>12</w:t>
      </w:r>
      <w:r>
        <w:t>)</w:t>
      </w:r>
    </w:p>
    <w:p w14:paraId="0DC1FDC2" w14:textId="77777777" w:rsidR="00013E0F" w:rsidRDefault="00013E0F" w:rsidP="00BA7D1D">
      <w:pPr>
        <w:pStyle w:val="ListParagraph0"/>
      </w:pPr>
    </w:p>
    <w:p w14:paraId="33CB4D4D" w14:textId="1E0C75C6" w:rsidR="00D071FB" w:rsidRPr="00D071FB" w:rsidRDefault="004B2DB9" w:rsidP="00D071FB">
      <w:pPr>
        <w:pStyle w:val="QCABullet"/>
      </w:pPr>
      <w:r>
        <w:t xml:space="preserve">advice to the Minister for Energy </w:t>
      </w:r>
      <w:r w:rsidR="00D31331">
        <w:t xml:space="preserve">on </w:t>
      </w:r>
      <w:r>
        <w:t xml:space="preserve">Schedule 8 of the Electricity Regulation 2006 </w:t>
      </w:r>
      <w:r w:rsidR="00796B4A">
        <w:t xml:space="preserve">(page </w:t>
      </w:r>
      <w:r w:rsidR="0077534A">
        <w:t>12</w:t>
      </w:r>
      <w:r w:rsidR="00796B4A">
        <w:t>)</w:t>
      </w:r>
    </w:p>
    <w:p w14:paraId="2E87DA99" w14:textId="77777777" w:rsidR="00771667" w:rsidRDefault="00771667" w:rsidP="00BA7D1D">
      <w:pPr>
        <w:pStyle w:val="ListParagraph0"/>
      </w:pPr>
    </w:p>
    <w:p w14:paraId="5A1E4322" w14:textId="5D7DF101" w:rsidR="006539DB" w:rsidRDefault="00805D4A" w:rsidP="00E1646C">
      <w:pPr>
        <w:pStyle w:val="QCABullet"/>
      </w:pPr>
      <w:r>
        <w:t xml:space="preserve">an </w:t>
      </w:r>
      <w:r w:rsidR="00D31331">
        <w:t xml:space="preserve">annual </w:t>
      </w:r>
      <w:r>
        <w:t xml:space="preserve">market monitoring </w:t>
      </w:r>
      <w:r w:rsidR="00D31331">
        <w:t xml:space="preserve">report </w:t>
      </w:r>
      <w:r w:rsidR="006539DB">
        <w:t xml:space="preserve">of the SEQ retail electricity market </w:t>
      </w:r>
      <w:r w:rsidR="0012421D">
        <w:t xml:space="preserve">(page </w:t>
      </w:r>
      <w:r w:rsidR="0077534A">
        <w:t>12</w:t>
      </w:r>
      <w:r w:rsidR="0012421D">
        <w:t>)</w:t>
      </w:r>
    </w:p>
    <w:p w14:paraId="54BC4109" w14:textId="77777777" w:rsidR="00D31331" w:rsidRDefault="00D31331" w:rsidP="00F557CB">
      <w:pPr>
        <w:pStyle w:val="ListParagraph0"/>
      </w:pPr>
    </w:p>
    <w:p w14:paraId="041C8238" w14:textId="3D4B01CF" w:rsidR="00D31331" w:rsidRDefault="00D31331" w:rsidP="00E1646C">
      <w:pPr>
        <w:pStyle w:val="QCABullet"/>
      </w:pPr>
      <w:r>
        <w:t>a final determination on solar feed-in tariffs for 2021–22 for regional Queensland (page 16)</w:t>
      </w:r>
    </w:p>
    <w:p w14:paraId="4B436A3A" w14:textId="77777777" w:rsidR="00765807" w:rsidRDefault="00765807" w:rsidP="00241A24">
      <w:pPr>
        <w:pStyle w:val="QCABullet"/>
        <w:numPr>
          <w:ilvl w:val="0"/>
          <w:numId w:val="0"/>
        </w:numPr>
        <w:ind w:left="502" w:hanging="360"/>
      </w:pPr>
    </w:p>
    <w:p w14:paraId="0B47A238" w14:textId="77D1BD00" w:rsidR="00765807" w:rsidRDefault="00765807" w:rsidP="00E1646C">
      <w:pPr>
        <w:pStyle w:val="QCABullet"/>
      </w:pPr>
      <w:r w:rsidRPr="00765807">
        <w:t>a final decision on the Dalrymple Bay Coal Terminal 2019 draft access undertaking, including an arbitration guideline (page 13)</w:t>
      </w:r>
    </w:p>
    <w:p w14:paraId="254491AB" w14:textId="77777777" w:rsidR="00765807" w:rsidRDefault="00765807" w:rsidP="00241A24">
      <w:pPr>
        <w:pStyle w:val="QCABullet"/>
        <w:numPr>
          <w:ilvl w:val="0"/>
          <w:numId w:val="0"/>
        </w:numPr>
        <w:ind w:left="502" w:hanging="360"/>
      </w:pPr>
    </w:p>
    <w:p w14:paraId="5398568C" w14:textId="759E4DB8" w:rsidR="004B2DB9" w:rsidRDefault="004B2DB9" w:rsidP="00E1646C">
      <w:pPr>
        <w:pStyle w:val="QCABullet"/>
      </w:pPr>
      <w:r>
        <w:t xml:space="preserve">a final statement on water pricing principles (page </w:t>
      </w:r>
      <w:r w:rsidR="0077534A">
        <w:t>15</w:t>
      </w:r>
      <w:r>
        <w:t>)</w:t>
      </w:r>
    </w:p>
    <w:p w14:paraId="1A335B11" w14:textId="77777777" w:rsidR="004B2DB9" w:rsidRDefault="004B2DB9" w:rsidP="00241A24">
      <w:pPr>
        <w:pStyle w:val="QCABullet"/>
        <w:numPr>
          <w:ilvl w:val="0"/>
          <w:numId w:val="0"/>
        </w:numPr>
        <w:ind w:left="502" w:hanging="360"/>
      </w:pPr>
    </w:p>
    <w:p w14:paraId="19907C76" w14:textId="0328307F" w:rsidR="004B2DB9" w:rsidRDefault="004B2DB9" w:rsidP="00E1646C">
      <w:pPr>
        <w:pStyle w:val="QCABullet"/>
      </w:pPr>
      <w:r>
        <w:t xml:space="preserve">an issues paper on the inflation forecasting review (page </w:t>
      </w:r>
      <w:r w:rsidR="0077534A">
        <w:t>15</w:t>
      </w:r>
      <w:r>
        <w:t>)</w:t>
      </w:r>
    </w:p>
    <w:p w14:paraId="194557E5" w14:textId="77777777" w:rsidR="004B2DB9" w:rsidRDefault="004B2DB9" w:rsidP="00241A24">
      <w:pPr>
        <w:pStyle w:val="QCABullet"/>
        <w:numPr>
          <w:ilvl w:val="0"/>
          <w:numId w:val="0"/>
        </w:numPr>
        <w:ind w:left="502" w:hanging="360"/>
      </w:pPr>
    </w:p>
    <w:p w14:paraId="1173F78D" w14:textId="1DC6E716" w:rsidR="004B2DB9" w:rsidRDefault="004B2DB9" w:rsidP="00E1646C">
      <w:pPr>
        <w:pStyle w:val="QCABullet"/>
      </w:pPr>
      <w:r>
        <w:t xml:space="preserve">a draft report on the rate of return review (page </w:t>
      </w:r>
      <w:r w:rsidR="0077534A">
        <w:t>15</w:t>
      </w:r>
      <w:r>
        <w:t>)</w:t>
      </w:r>
    </w:p>
    <w:p w14:paraId="03A4E464" w14:textId="77777777" w:rsidR="004B2DB9" w:rsidRDefault="004B2DB9" w:rsidP="00241A24">
      <w:pPr>
        <w:pStyle w:val="QCABullet"/>
        <w:numPr>
          <w:ilvl w:val="0"/>
          <w:numId w:val="0"/>
        </w:numPr>
        <w:ind w:left="502" w:hanging="360"/>
      </w:pPr>
    </w:p>
    <w:p w14:paraId="74A03719" w14:textId="1F4589F4" w:rsidR="004B2DB9" w:rsidRDefault="004B2DB9" w:rsidP="00E1646C">
      <w:pPr>
        <w:pStyle w:val="QCABullet"/>
      </w:pPr>
      <w:r>
        <w:t>an external declaration guide</w:t>
      </w:r>
      <w:r w:rsidR="00D31331">
        <w:t xml:space="preserve"> </w:t>
      </w:r>
      <w:r>
        <w:t xml:space="preserve">(page </w:t>
      </w:r>
      <w:r w:rsidR="0077534A">
        <w:t>15</w:t>
      </w:r>
      <w:r>
        <w:t>)</w:t>
      </w:r>
    </w:p>
    <w:p w14:paraId="4B38FD2B" w14:textId="77777777" w:rsidR="00D31331" w:rsidRDefault="00D31331" w:rsidP="00F557CB">
      <w:pPr>
        <w:pStyle w:val="ListParagraph0"/>
      </w:pPr>
    </w:p>
    <w:p w14:paraId="276AE752" w14:textId="6843BD90" w:rsidR="00D31331" w:rsidRDefault="00D31331" w:rsidP="00E1646C">
      <w:pPr>
        <w:pStyle w:val="QCABullet"/>
      </w:pPr>
      <w:r>
        <w:t>a decision on Aurizon Network’s maintenance and cross-system voting draft amending access undertaking (DAAU) (page 16)</w:t>
      </w:r>
    </w:p>
    <w:p w14:paraId="762E7113" w14:textId="77777777" w:rsidR="00D31331" w:rsidRDefault="00D31331" w:rsidP="00F557CB">
      <w:pPr>
        <w:pStyle w:val="ListParagraph0"/>
      </w:pPr>
    </w:p>
    <w:p w14:paraId="79F63A7B" w14:textId="10BCA8D0" w:rsidR="00D31331" w:rsidRDefault="00D31331" w:rsidP="00E1646C">
      <w:pPr>
        <w:pStyle w:val="QCABullet"/>
      </w:pPr>
      <w:r>
        <w:t>a decision on Aurizon Network’s Meteor Downs South pricing DAAU (page 16)</w:t>
      </w:r>
      <w:r w:rsidR="00E51D7E">
        <w:t>.</w:t>
      </w:r>
    </w:p>
    <w:p w14:paraId="2F300941" w14:textId="77777777" w:rsidR="00D31331" w:rsidRDefault="00D31331" w:rsidP="00F557CB">
      <w:pPr>
        <w:pStyle w:val="ListParagraph0"/>
      </w:pPr>
    </w:p>
    <w:p w14:paraId="28E53891" w14:textId="77777777" w:rsidR="0064006E" w:rsidRDefault="0064006E" w:rsidP="009B0C7A">
      <w:pPr>
        <w:pStyle w:val="QCABullet"/>
        <w:numPr>
          <w:ilvl w:val="0"/>
          <w:numId w:val="0"/>
        </w:numPr>
        <w:ind w:left="284" w:hanging="284"/>
      </w:pPr>
    </w:p>
    <w:p w14:paraId="5540B8D1" w14:textId="20116265" w:rsidR="00C35F5E" w:rsidRPr="00454D6B" w:rsidRDefault="00856422" w:rsidP="00731D6C">
      <w:pPr>
        <w:pStyle w:val="Heading1"/>
        <w:pBdr>
          <w:bottom w:val="single" w:sz="4" w:space="1" w:color="auto"/>
        </w:pBdr>
        <w:tabs>
          <w:tab w:val="left" w:pos="2410"/>
        </w:tabs>
        <w:ind w:right="-1985"/>
        <w:rPr>
          <w:highlight w:val="yellow"/>
        </w:rPr>
      </w:pPr>
      <w:r>
        <w:br w:type="page"/>
      </w:r>
      <w:bookmarkStart w:id="68" w:name="_Toc426538278"/>
      <w:bookmarkStart w:id="69" w:name="_Toc487614500"/>
      <w:bookmarkStart w:id="70" w:name="_Toc520282142"/>
      <w:bookmarkStart w:id="71" w:name="_Toc80792943"/>
      <w:r w:rsidR="00FB21C6">
        <w:lastRenderedPageBreak/>
        <w:t xml:space="preserve">About </w:t>
      </w:r>
      <w:r w:rsidR="003419FA">
        <w:t>us</w:t>
      </w:r>
      <w:bookmarkEnd w:id="68"/>
      <w:bookmarkEnd w:id="69"/>
      <w:bookmarkEnd w:id="70"/>
      <w:bookmarkEnd w:id="71"/>
    </w:p>
    <w:p w14:paraId="2EFF1513" w14:textId="44BBED1F" w:rsidR="00454F5C" w:rsidRDefault="00454F5C" w:rsidP="00C4228B">
      <w:pPr>
        <w:pStyle w:val="Heading3"/>
        <w:ind w:left="-2127" w:right="-1702"/>
        <w:rPr>
          <w:highlight w:val="yellow"/>
        </w:rPr>
        <w:sectPr w:rsidR="00454F5C" w:rsidSect="004058E9">
          <w:footerReference w:type="default" r:id="rId19"/>
          <w:pgSz w:w="11907" w:h="16840" w:code="9"/>
          <w:pgMar w:top="1361" w:right="851" w:bottom="1814" w:left="3969" w:header="284" w:footer="170" w:gutter="0"/>
          <w:pgNumType w:start="1"/>
          <w:cols w:space="708"/>
          <w:docGrid w:linePitch="360"/>
        </w:sectPr>
      </w:pPr>
    </w:p>
    <w:p w14:paraId="768A873B" w14:textId="77777777" w:rsidR="00EB2AFA" w:rsidRDefault="00EB2AFA" w:rsidP="004144B6">
      <w:pPr>
        <w:pStyle w:val="QCABodyText"/>
        <w:rPr>
          <w:i/>
        </w:rPr>
      </w:pPr>
    </w:p>
    <w:p w14:paraId="269BC282" w14:textId="46F77734" w:rsidR="006D4DEE" w:rsidRPr="00671E1C" w:rsidRDefault="00CD2F94" w:rsidP="00EB2AFA">
      <w:pPr>
        <w:pStyle w:val="QCABodyText"/>
        <w:rPr>
          <w:i/>
        </w:rPr>
      </w:pPr>
      <w:r w:rsidRPr="00671E1C">
        <w:rPr>
          <w:i/>
        </w:rPr>
        <w:t xml:space="preserve">The Queensland Competition Authority (QCA) is an independent statutory </w:t>
      </w:r>
      <w:r w:rsidR="00E0113F">
        <w:rPr>
          <w:i/>
        </w:rPr>
        <w:t>body</w:t>
      </w:r>
      <w:r w:rsidRPr="00671E1C">
        <w:rPr>
          <w:i/>
        </w:rPr>
        <w:t xml:space="preserve">, established in 1997. </w:t>
      </w:r>
    </w:p>
    <w:p w14:paraId="022B3E48" w14:textId="5987073A" w:rsidR="00EB2AFA" w:rsidRPr="00671E1C" w:rsidRDefault="00CD2F94" w:rsidP="00671E1C">
      <w:pPr>
        <w:pStyle w:val="QCABodyText"/>
        <w:rPr>
          <w:i/>
        </w:rPr>
      </w:pPr>
      <w:r w:rsidRPr="00671E1C">
        <w:rPr>
          <w:i/>
        </w:rPr>
        <w:t>Our primary role is to ensure monopoly businesses operating in Queensland, particularly in the provision of key infrastructure, do not abuse their market power through unfair pricing or restrictive access arrangements.</w:t>
      </w:r>
    </w:p>
    <w:p w14:paraId="2E90DDFD" w14:textId="25211B91" w:rsidR="00A61323" w:rsidRPr="00594E13" w:rsidRDefault="00CD2F94" w:rsidP="00731D6C">
      <w:pPr>
        <w:pStyle w:val="Heading2"/>
      </w:pPr>
      <w:bookmarkStart w:id="72" w:name="_Toc80792944"/>
      <w:r w:rsidRPr="00CD2F94">
        <w:t>Economic context</w:t>
      </w:r>
      <w:bookmarkEnd w:id="72"/>
    </w:p>
    <w:p w14:paraId="06A10D34" w14:textId="507C3514" w:rsidR="00B5339E" w:rsidRDefault="00CD2F94" w:rsidP="00A61323">
      <w:pPr>
        <w:pStyle w:val="QCABodyText"/>
      </w:pPr>
      <w:r w:rsidRPr="00CD2F94">
        <w:t xml:space="preserve">We </w:t>
      </w:r>
      <w:r w:rsidR="00FB11F3">
        <w:t>regulate</w:t>
      </w:r>
      <w:r w:rsidRPr="00CD2F94">
        <w:t xml:space="preserve"> the market behaviour of </w:t>
      </w:r>
      <w:proofErr w:type="gramStart"/>
      <w:r w:rsidR="006D1818">
        <w:t>a number of</w:t>
      </w:r>
      <w:proofErr w:type="gramEnd"/>
      <w:r w:rsidR="006D1818">
        <w:t xml:space="preserve"> </w:t>
      </w:r>
      <w:r w:rsidRPr="00CD2F94">
        <w:t xml:space="preserve">monopoly businesses in Queensland.   </w:t>
      </w:r>
    </w:p>
    <w:p w14:paraId="6B8432A5" w14:textId="77777777" w:rsidR="00A61323" w:rsidRPr="00594E13" w:rsidRDefault="00CD2F94" w:rsidP="00A61323">
      <w:pPr>
        <w:pStyle w:val="QCABodyText"/>
      </w:pPr>
      <w:r w:rsidRPr="00CD2F94">
        <w:t xml:space="preserve">In a competitive market, a business is constrained by its competitors in the prices it can charge for goods or services. If too high a price is charged, consumers are likely to buy from a competitor at a lower price. Alternatively, if the business is the only supplier and charges too high a price, a competitor will likely enter the market offering a lower, but still profitable, price. </w:t>
      </w:r>
    </w:p>
    <w:p w14:paraId="4997CAF8" w14:textId="5CA35AAC" w:rsidR="00A61323" w:rsidRPr="00594E13" w:rsidRDefault="00CD2F94" w:rsidP="00A61323">
      <w:pPr>
        <w:pStyle w:val="QCABodyText"/>
      </w:pPr>
      <w:r w:rsidRPr="00CD2F94">
        <w:t xml:space="preserve">However, it is not always possible or sensible to have competition in </w:t>
      </w:r>
      <w:r w:rsidR="00FB11F3" w:rsidRPr="00FB11F3">
        <w:t>industries that require large-scale infrastructure investment, including many essential services</w:t>
      </w:r>
      <w:r w:rsidRPr="00CD2F94">
        <w:t>. This is because there may only be one possible supplier (</w:t>
      </w:r>
      <w:proofErr w:type="gramStart"/>
      <w:r w:rsidRPr="00CD2F94">
        <w:t>e.g.</w:t>
      </w:r>
      <w:proofErr w:type="gramEnd"/>
      <w:r w:rsidRPr="00CD2F94">
        <w:t xml:space="preserve"> there may be only one possible site for a dam) or it may not be economic to have more than one supplier (e.g. the costs of constructing a new electricity distribution system would simply outweigh the benefits from having competing networks).</w:t>
      </w:r>
    </w:p>
    <w:p w14:paraId="5F525CA4" w14:textId="321BCEBA" w:rsidR="001013B8" w:rsidRPr="00594E13" w:rsidRDefault="00CD2F94" w:rsidP="00A61323">
      <w:pPr>
        <w:pStyle w:val="QCABodyText"/>
      </w:pPr>
      <w:r w:rsidRPr="00CD2F94">
        <w:t xml:space="preserve">In these cases, there may be limited, if any, competitive forces to constrain the behaviour of the business, especially in the provision of energy, </w:t>
      </w:r>
      <w:proofErr w:type="gramStart"/>
      <w:r w:rsidRPr="00CD2F94">
        <w:t>transport</w:t>
      </w:r>
      <w:r w:rsidR="00FB11F3">
        <w:t>ation</w:t>
      </w:r>
      <w:proofErr w:type="gramEnd"/>
      <w:r w:rsidRPr="00CD2F94">
        <w:t xml:space="preserve"> or water. </w:t>
      </w:r>
    </w:p>
    <w:p w14:paraId="75B8E388" w14:textId="6FD68871" w:rsidR="00A61323" w:rsidRPr="00594E13" w:rsidRDefault="00CD2F94" w:rsidP="00A61323">
      <w:pPr>
        <w:pStyle w:val="QCABodyText"/>
      </w:pPr>
      <w:r w:rsidRPr="00CD2F94">
        <w:t xml:space="preserve">Our role is to prevent the abuse of market power </w:t>
      </w:r>
      <w:r w:rsidR="0050534A">
        <w:t>that</w:t>
      </w:r>
      <w:r w:rsidRPr="00CD2F94">
        <w:t xml:space="preserve"> may arise from a lack of competition. </w:t>
      </w:r>
    </w:p>
    <w:p w14:paraId="50FDBE15" w14:textId="2F8FFED4" w:rsidR="00C35F5E" w:rsidRDefault="00CD2F94" w:rsidP="00FD70B5">
      <w:pPr>
        <w:pStyle w:val="Heading3-nospaceabove"/>
        <w:spacing w:before="240"/>
      </w:pPr>
      <w:r w:rsidRPr="00CD2F94">
        <w:t>Responsibilities</w:t>
      </w:r>
    </w:p>
    <w:p w14:paraId="31721834" w14:textId="304EA49C" w:rsidR="00A61323" w:rsidRPr="00594E13" w:rsidRDefault="009371F6" w:rsidP="00A61323">
      <w:pPr>
        <w:pStyle w:val="QCABodyText"/>
      </w:pPr>
      <w:r>
        <w:t>T</w:t>
      </w:r>
      <w:r w:rsidR="00CD2F94" w:rsidRPr="00CD2F94">
        <w:t xml:space="preserve">he </w:t>
      </w:r>
      <w:r w:rsidR="00CD2F94" w:rsidRPr="00CD2F94">
        <w:rPr>
          <w:rStyle w:val="QCAItalics"/>
        </w:rPr>
        <w:t>Queensland Competition Authority Act 1997</w:t>
      </w:r>
      <w:r w:rsidR="00CD2F94" w:rsidRPr="00CD2F94">
        <w:t xml:space="preserve"> (the QCA Act) </w:t>
      </w:r>
      <w:r>
        <w:t xml:space="preserve">is the legislation that guides </w:t>
      </w:r>
      <w:r w:rsidR="00CD2F94" w:rsidRPr="00CD2F94">
        <w:t xml:space="preserve">our </w:t>
      </w:r>
      <w:r>
        <w:t>work</w:t>
      </w:r>
      <w:r w:rsidR="00900670">
        <w:t>.</w:t>
      </w:r>
    </w:p>
    <w:p w14:paraId="01173DF0" w14:textId="77777777" w:rsidR="00A61323" w:rsidRPr="00594E13" w:rsidRDefault="00CD2F94" w:rsidP="00E163AB">
      <w:pPr>
        <w:pStyle w:val="Heading4"/>
        <w:ind w:right="156"/>
      </w:pPr>
      <w:r w:rsidRPr="00CD2F94">
        <w:t>Monopoly prices oversight</w:t>
      </w:r>
    </w:p>
    <w:p w14:paraId="73AFD8C1" w14:textId="77777777" w:rsidR="00A61323" w:rsidRPr="00594E13" w:rsidRDefault="00CD2F94" w:rsidP="00A61323">
      <w:pPr>
        <w:pStyle w:val="QCABodyText"/>
      </w:pPr>
      <w:r w:rsidRPr="00CD2F94">
        <w:t>We use pricing and other regulatory arrangements, based on sound economic and commercial principles, to encourage monopoly businesses to operate responsibly in the absence of normal competitive market forces.</w:t>
      </w:r>
    </w:p>
    <w:p w14:paraId="3C1B69A3" w14:textId="23794EA7" w:rsidR="00A61323" w:rsidRDefault="00CD2F94" w:rsidP="00A61323">
      <w:pPr>
        <w:pStyle w:val="QCABodyText"/>
      </w:pPr>
      <w:r w:rsidRPr="00CD2F94">
        <w:t>Prices oversight prevents monopol</w:t>
      </w:r>
      <w:r w:rsidR="006A2819">
        <w:t>y businesses</w:t>
      </w:r>
      <w:r w:rsidRPr="00CD2F94">
        <w:t xml:space="preserve"> from abusing their market power by charging excessive prices for their products or service</w:t>
      </w:r>
      <w:r w:rsidR="006A2819">
        <w:t>s</w:t>
      </w:r>
      <w:r w:rsidRPr="00CD2F94">
        <w:t>.</w:t>
      </w:r>
    </w:p>
    <w:p w14:paraId="7FCB31A2" w14:textId="229EFD24" w:rsidR="00F338E1" w:rsidRPr="00594E13" w:rsidRDefault="00FE4CC3" w:rsidP="00A61323">
      <w:pPr>
        <w:pStyle w:val="QCABodyText"/>
      </w:pPr>
      <w:r>
        <w:t xml:space="preserve">Where </w:t>
      </w:r>
      <w:r w:rsidR="001A34D3">
        <w:t>we oversee</w:t>
      </w:r>
      <w:r w:rsidR="00F338E1">
        <w:t xml:space="preserve"> </w:t>
      </w:r>
      <w:r w:rsidR="001A34D3">
        <w:t xml:space="preserve">monopoly </w:t>
      </w:r>
      <w:r w:rsidR="00F338E1">
        <w:t>prices</w:t>
      </w:r>
      <w:r>
        <w:t>,</w:t>
      </w:r>
      <w:r w:rsidR="00F338E1">
        <w:t xml:space="preserve"> c</w:t>
      </w:r>
      <w:r w:rsidR="00F338E1" w:rsidRPr="00F338E1">
        <w:t xml:space="preserve">onsumers </w:t>
      </w:r>
      <w:r>
        <w:t xml:space="preserve">can </w:t>
      </w:r>
      <w:r w:rsidR="006D1818">
        <w:t>be confident they are paying reasonable</w:t>
      </w:r>
      <w:r w:rsidR="00F338E1" w:rsidRPr="00F338E1">
        <w:t xml:space="preserve"> prices, while businesses can still earn a reasonable investment return—a beneficial outcome for all.</w:t>
      </w:r>
    </w:p>
    <w:p w14:paraId="02B06B75" w14:textId="1AFB34C3" w:rsidR="00A61323" w:rsidRDefault="00CD2F94" w:rsidP="00A61323">
      <w:pPr>
        <w:pStyle w:val="QCABodyText"/>
      </w:pPr>
      <w:r w:rsidRPr="00CD2F94">
        <w:t xml:space="preserve">We may investigate the pricing practices of such monopolies or monitor their pricing practices, depending on the referral from the </w:t>
      </w:r>
      <w:r w:rsidR="00FB11F3">
        <w:t>Treasurer</w:t>
      </w:r>
      <w:r w:rsidRPr="00CD2F94">
        <w:t xml:space="preserve">. We only perform these functions on request from the </w:t>
      </w:r>
      <w:r w:rsidR="00FB11F3">
        <w:t>Treasurer</w:t>
      </w:r>
      <w:r w:rsidRPr="00CD2F94">
        <w:t>.</w:t>
      </w:r>
    </w:p>
    <w:p w14:paraId="3BA1DA77" w14:textId="77777777" w:rsidR="00350BE7" w:rsidRPr="00594E13" w:rsidRDefault="00350BE7" w:rsidP="00350BE7">
      <w:pPr>
        <w:pStyle w:val="Heading4-nospaceabove"/>
        <w:ind w:right="156"/>
      </w:pPr>
      <w:r w:rsidRPr="00CD2F94">
        <w:t>Third party access</w:t>
      </w:r>
    </w:p>
    <w:p w14:paraId="4B46EACF" w14:textId="77777777" w:rsidR="00350BE7" w:rsidRPr="00594E13" w:rsidRDefault="00350BE7" w:rsidP="00350BE7">
      <w:pPr>
        <w:pStyle w:val="QCABodyText"/>
      </w:pPr>
      <w:r w:rsidRPr="00CD2F94">
        <w:t>Essential infrastructure that underpins economic activity should be accessible to all potential users.</w:t>
      </w:r>
    </w:p>
    <w:p w14:paraId="7AAAF065" w14:textId="77A25F8D" w:rsidR="00350BE7" w:rsidRPr="00594E13" w:rsidRDefault="00350BE7" w:rsidP="00350BE7">
      <w:pPr>
        <w:pStyle w:val="QCABodyText"/>
      </w:pPr>
      <w:r w:rsidRPr="00CD2F94">
        <w:t>We regulate third party access to essential infrastructure so as to support competition</w:t>
      </w:r>
      <w:r>
        <w:t>,</w:t>
      </w:r>
      <w:r w:rsidRPr="00CD2F94">
        <w:t xml:space="preserve"> by enabling competitors (</w:t>
      </w:r>
      <w:proofErr w:type="gramStart"/>
      <w:r w:rsidRPr="00CD2F94">
        <w:t>i.e.</w:t>
      </w:r>
      <w:proofErr w:type="gramEnd"/>
      <w:r w:rsidRPr="00CD2F94">
        <w:t xml:space="preserve"> ‘third parties’) to access infrastructure which cannot be economically duplicated, such as rail tracks and port</w:t>
      </w:r>
      <w:r>
        <w:t>s</w:t>
      </w:r>
      <w:r w:rsidRPr="00CD2F94">
        <w:t xml:space="preserve">. </w:t>
      </w:r>
      <w:r>
        <w:t>For</w:t>
      </w:r>
      <w:r w:rsidRPr="00CD2F94">
        <w:t xml:space="preserve"> example, in the Queensland rail sector, we ensure track </w:t>
      </w:r>
      <w:r w:rsidR="006D1818">
        <w:t>operated</w:t>
      </w:r>
      <w:r w:rsidR="006D1818" w:rsidRPr="00CD2F94">
        <w:t xml:space="preserve"> </w:t>
      </w:r>
      <w:r w:rsidRPr="00CD2F94">
        <w:t xml:space="preserve">by Aurizon Holdings may be used by other </w:t>
      </w:r>
      <w:r>
        <w:t>train</w:t>
      </w:r>
      <w:r w:rsidRPr="00CD2F94">
        <w:t xml:space="preserve"> operators. This provides customers, such as coal miners, with options regarding the haulage of their product.</w:t>
      </w:r>
    </w:p>
    <w:p w14:paraId="0AD553CC" w14:textId="2623E3C0" w:rsidR="00350BE7" w:rsidRDefault="00350BE7" w:rsidP="00350BE7">
      <w:pPr>
        <w:pStyle w:val="QCABodyText"/>
      </w:pPr>
      <w:r w:rsidRPr="00CD2F94">
        <w:t xml:space="preserve">By </w:t>
      </w:r>
      <w:proofErr w:type="gramStart"/>
      <w:r w:rsidRPr="00CD2F94">
        <w:t>opening up</w:t>
      </w:r>
      <w:proofErr w:type="gramEnd"/>
      <w:r w:rsidRPr="00CD2F94">
        <w:t xml:space="preserve"> access, competition </w:t>
      </w:r>
      <w:r w:rsidR="00D14615">
        <w:t xml:space="preserve">in related markets </w:t>
      </w:r>
      <w:r>
        <w:t>may be</w:t>
      </w:r>
      <w:r w:rsidRPr="00CD2F94">
        <w:t xml:space="preserve"> enhanced.</w:t>
      </w:r>
    </w:p>
    <w:p w14:paraId="01DEFBD5" w14:textId="1F25D1CB" w:rsidR="007857F5" w:rsidRDefault="007857F5" w:rsidP="00241A24">
      <w:pPr>
        <w:pStyle w:val="Heading4"/>
      </w:pPr>
      <w:r>
        <w:t>Competitive neutrality</w:t>
      </w:r>
    </w:p>
    <w:p w14:paraId="08EE0EFF" w14:textId="70AB8EB7" w:rsidR="007857F5" w:rsidRDefault="00FF7669" w:rsidP="00350BE7">
      <w:pPr>
        <w:pStyle w:val="QCABodyText"/>
      </w:pPr>
      <w:r>
        <w:t xml:space="preserve">As of 2 June 2021, we </w:t>
      </w:r>
      <w:r w:rsidR="00E51D7E">
        <w:t>are handling competitive neutrality matters related to relevant state and government busin</w:t>
      </w:r>
      <w:r w:rsidR="00724C01">
        <w:t>esses</w:t>
      </w:r>
      <w:r w:rsidR="005B7001">
        <w:t>.</w:t>
      </w:r>
    </w:p>
    <w:p w14:paraId="465E4EC7" w14:textId="524CC10F" w:rsidR="00724C01" w:rsidRDefault="00724C01" w:rsidP="00350BE7">
      <w:pPr>
        <w:pStyle w:val="QCABodyText"/>
      </w:pPr>
      <w:r w:rsidRPr="00724C01">
        <w:t>We advise government agencies about complying with the principle of competitive neutrality. We also receive, investigate and report on complaints about the alleged failures of government agencies to comply with the principle of competitive neutrality.</w:t>
      </w:r>
    </w:p>
    <w:p w14:paraId="5BA2F204" w14:textId="05F16D28" w:rsidR="009B0C03" w:rsidRDefault="009B0C03" w:rsidP="009B0C03">
      <w:pPr>
        <w:pStyle w:val="QCABodyText"/>
      </w:pPr>
      <w:r>
        <w:t xml:space="preserve">Competitive neutrality is the principle that a public sector business or agency should not have a competitive advantage (or disadvantage) over the private sector solely due to </w:t>
      </w:r>
      <w:r w:rsidR="00724C01">
        <w:t>being government-owned</w:t>
      </w:r>
      <w:r>
        <w:t>. Public sector businesses should compete with private sector businesses on an equal (competitively neutral) basis.</w:t>
      </w:r>
    </w:p>
    <w:p w14:paraId="152B7A4B" w14:textId="73C3F7F3" w:rsidR="009B0C03" w:rsidRDefault="00724C01" w:rsidP="009B0C03">
      <w:pPr>
        <w:pStyle w:val="QCABodyText"/>
      </w:pPr>
      <w:r>
        <w:t xml:space="preserve">Ways in which public sector businesses can have competitive neutrality advantages over private sector businesses include: </w:t>
      </w:r>
    </w:p>
    <w:p w14:paraId="3FFF45DF" w14:textId="400C2948" w:rsidR="009B0C03" w:rsidRDefault="001812A4" w:rsidP="00075481">
      <w:pPr>
        <w:pStyle w:val="QCABullet"/>
        <w:ind w:left="426" w:hanging="426"/>
      </w:pPr>
      <w:r>
        <w:t>b</w:t>
      </w:r>
      <w:r w:rsidR="009B0C03">
        <w:t>e exempt from taxes and charges</w:t>
      </w:r>
    </w:p>
    <w:p w14:paraId="3F283F73" w14:textId="2D9892E3" w:rsidR="009B0C03" w:rsidRDefault="001812A4" w:rsidP="00075481">
      <w:pPr>
        <w:pStyle w:val="QCABullet"/>
        <w:ind w:left="426" w:hanging="426"/>
      </w:pPr>
      <w:r>
        <w:t>h</w:t>
      </w:r>
      <w:r w:rsidR="009B0C03">
        <w:t>ave access to less expensive funds because of implicit or explicit government guarantees</w:t>
      </w:r>
    </w:p>
    <w:p w14:paraId="0616E48A" w14:textId="5147DF3D" w:rsidR="009B0C03" w:rsidRDefault="001812A4" w:rsidP="00075481">
      <w:pPr>
        <w:pStyle w:val="QCABullet"/>
        <w:ind w:left="426" w:hanging="426"/>
      </w:pPr>
      <w:r>
        <w:t>b</w:t>
      </w:r>
      <w:r w:rsidR="009B0C03">
        <w:t>e exempt from complying with certain regulations and procedures.</w:t>
      </w:r>
    </w:p>
    <w:p w14:paraId="34FC6B63" w14:textId="77777777" w:rsidR="00350BE7" w:rsidRDefault="00350BE7" w:rsidP="00350BE7">
      <w:pPr>
        <w:pStyle w:val="Heading4"/>
        <w:ind w:right="156"/>
      </w:pPr>
      <w:r w:rsidRPr="00CD2F94">
        <w:lastRenderedPageBreak/>
        <w:t>General issues</w:t>
      </w:r>
    </w:p>
    <w:p w14:paraId="52B08A3C" w14:textId="77777777" w:rsidR="00350BE7" w:rsidRPr="005F5FCC" w:rsidRDefault="00350BE7" w:rsidP="00350BE7">
      <w:pPr>
        <w:pStyle w:val="QCABullet"/>
        <w:numPr>
          <w:ilvl w:val="0"/>
          <w:numId w:val="0"/>
        </w:numPr>
      </w:pPr>
      <w:r w:rsidRPr="00CD2F94">
        <w:rPr>
          <w:iCs/>
        </w:rPr>
        <w:t xml:space="preserve">Apart from the specific responsibilities outlined above, </w:t>
      </w:r>
      <w:r w:rsidRPr="00CD2F94">
        <w:t xml:space="preserve">we have </w:t>
      </w:r>
      <w:r w:rsidRPr="00CD2F94">
        <w:rPr>
          <w:iCs/>
        </w:rPr>
        <w:t xml:space="preserve">a range of general responsibilities. </w:t>
      </w:r>
      <w:proofErr w:type="gramStart"/>
      <w:r w:rsidRPr="00CD2F94">
        <w:rPr>
          <w:iCs/>
        </w:rPr>
        <w:t>In particular, u</w:t>
      </w:r>
      <w:r w:rsidRPr="00CD2F94">
        <w:t>nder</w:t>
      </w:r>
      <w:proofErr w:type="gramEnd"/>
      <w:r w:rsidRPr="00CD2F94">
        <w:t xml:space="preserve"> section 10(e) of the QCA Act, Ministers can direct us to investigate and report on matters relating to competition</w:t>
      </w:r>
      <w:r>
        <w:t xml:space="preserve"> and</w:t>
      </w:r>
      <w:r w:rsidRPr="00CD2F94">
        <w:t xml:space="preserve"> industry.</w:t>
      </w:r>
    </w:p>
    <w:p w14:paraId="7D4E15C6" w14:textId="77777777" w:rsidR="00350BE7" w:rsidRDefault="00350BE7" w:rsidP="008817EF">
      <w:pPr>
        <w:pStyle w:val="Heading4-nospaceabove"/>
        <w:spacing w:before="240"/>
        <w:ind w:right="301"/>
      </w:pPr>
      <w:r w:rsidRPr="00CD2F94">
        <w:t>Responsibilities outside the QCA Act</w:t>
      </w:r>
    </w:p>
    <w:p w14:paraId="37A642B8" w14:textId="77777777" w:rsidR="00350BE7" w:rsidRPr="005F5FCC" w:rsidRDefault="00350BE7" w:rsidP="00350BE7">
      <w:pPr>
        <w:pStyle w:val="QCABullet"/>
        <w:numPr>
          <w:ilvl w:val="0"/>
          <w:numId w:val="0"/>
        </w:numPr>
      </w:pPr>
      <w:r w:rsidRPr="00CD2F94">
        <w:t xml:space="preserve">Our responsibilities, in addition to those under </w:t>
      </w:r>
      <w:r w:rsidRPr="00CD2F94">
        <w:br/>
        <w:t>the QCA Act, include:</w:t>
      </w:r>
    </w:p>
    <w:p w14:paraId="005A5501" w14:textId="77777777" w:rsidR="00350BE7" w:rsidRPr="008817EF" w:rsidRDefault="00350BE7" w:rsidP="00713B9B">
      <w:pPr>
        <w:pStyle w:val="QCABullet"/>
        <w:ind w:left="426" w:right="14" w:hanging="426"/>
      </w:pPr>
      <w:r w:rsidRPr="008817EF">
        <w:t xml:space="preserve">setting regulated retail electricity prices under the </w:t>
      </w:r>
      <w:r w:rsidRPr="00B55CC9">
        <w:rPr>
          <w:rStyle w:val="QCAItalics"/>
          <w:iCs/>
        </w:rPr>
        <w:t>Electricity Act 1994</w:t>
      </w:r>
      <w:r w:rsidRPr="008817EF">
        <w:t xml:space="preserve"> (the Electricity Act) for regional Queensland </w:t>
      </w:r>
    </w:p>
    <w:p w14:paraId="247BB7C5" w14:textId="77777777" w:rsidR="00350BE7" w:rsidRPr="008817EF" w:rsidRDefault="00350BE7" w:rsidP="00713B9B">
      <w:pPr>
        <w:pStyle w:val="QCABullet"/>
        <w:ind w:left="426" w:right="14" w:hanging="426"/>
      </w:pPr>
      <w:r w:rsidRPr="008817EF">
        <w:t>enforcing customer protections under the Electricity Distribution Network Code and the Gas Distribution Network Code.</w:t>
      </w:r>
    </w:p>
    <w:p w14:paraId="3945C115" w14:textId="77777777" w:rsidR="00350BE7" w:rsidRPr="005F5FCC" w:rsidRDefault="00350BE7" w:rsidP="00350BE7">
      <w:pPr>
        <w:pStyle w:val="Heading3"/>
      </w:pPr>
      <w:r>
        <w:t>Industry</w:t>
      </w:r>
    </w:p>
    <w:p w14:paraId="440D138D" w14:textId="77777777" w:rsidR="00350BE7" w:rsidRPr="005F5FCC" w:rsidRDefault="00350BE7" w:rsidP="00350BE7">
      <w:pPr>
        <w:pStyle w:val="QCABodyText"/>
      </w:pPr>
      <w:proofErr w:type="gramStart"/>
      <w:r>
        <w:t>During the course of</w:t>
      </w:r>
      <w:proofErr w:type="gramEnd"/>
      <w:r>
        <w:t xml:space="preserve"> our work</w:t>
      </w:r>
      <w:r w:rsidRPr="00CD2F94">
        <w:t xml:space="preserve">, we work </w:t>
      </w:r>
      <w:r>
        <w:t>with stakeholders in</w:t>
      </w:r>
      <w:r w:rsidRPr="00CD2F94">
        <w:t xml:space="preserve"> the </w:t>
      </w:r>
      <w:r>
        <w:t>electricity, water, rail, ports and gas industries.</w:t>
      </w:r>
    </w:p>
    <w:p w14:paraId="3223CB26" w14:textId="77777777" w:rsidR="00350BE7" w:rsidRDefault="00350BE7" w:rsidP="00A61323">
      <w:pPr>
        <w:pStyle w:val="QCABodyText"/>
      </w:pPr>
    </w:p>
    <w:p w14:paraId="245E6ABF" w14:textId="4002DB07" w:rsidR="00A61323" w:rsidRPr="00594E13" w:rsidRDefault="00A61323" w:rsidP="00A61323">
      <w:pPr>
        <w:pStyle w:val="QCABodyText"/>
        <w:ind w:left="-426"/>
        <w:sectPr w:rsidR="00A61323" w:rsidRPr="00594E13" w:rsidSect="004058E9">
          <w:type w:val="continuous"/>
          <w:pgSz w:w="11907" w:h="16840" w:code="9"/>
          <w:pgMar w:top="1361" w:right="851" w:bottom="709" w:left="1814" w:header="284" w:footer="284" w:gutter="0"/>
          <w:cols w:num="2" w:space="708"/>
          <w:docGrid w:linePitch="360"/>
        </w:sectPr>
      </w:pPr>
    </w:p>
    <w:p w14:paraId="767D041A" w14:textId="701BE74F" w:rsidR="006E2CB7" w:rsidRPr="008E556F" w:rsidRDefault="004B2060" w:rsidP="006E2CB7">
      <w:pPr>
        <w:pStyle w:val="Heading2"/>
      </w:pPr>
      <w:bookmarkStart w:id="73" w:name="_Toc487614501"/>
      <w:bookmarkStart w:id="74" w:name="_Toc520282143"/>
      <w:bookmarkStart w:id="75" w:name="_Toc80792945"/>
      <w:r>
        <w:lastRenderedPageBreak/>
        <w:t xml:space="preserve">Our </w:t>
      </w:r>
      <w:r w:rsidR="00E7321A">
        <w:t>b</w:t>
      </w:r>
      <w:r w:rsidR="006E2CB7" w:rsidRPr="006E2CB7">
        <w:t>oard</w:t>
      </w:r>
      <w:bookmarkEnd w:id="73"/>
      <w:bookmarkEnd w:id="74"/>
      <w:bookmarkEnd w:id="75"/>
    </w:p>
    <w:p w14:paraId="35134438" w14:textId="2C3C8B7E" w:rsidR="00836007" w:rsidRPr="008E556F" w:rsidRDefault="006D4DEE" w:rsidP="006E2CB7">
      <w:pPr>
        <w:pStyle w:val="QCABodyText"/>
      </w:pPr>
      <w:r>
        <w:t xml:space="preserve">Our board comprises </w:t>
      </w:r>
      <w:r w:rsidR="00CE4314">
        <w:t xml:space="preserve">four </w:t>
      </w:r>
      <w:r>
        <w:t xml:space="preserve">members, who </w:t>
      </w:r>
      <w:r w:rsidR="008B6255">
        <w:br/>
      </w:r>
      <w:r>
        <w:t>are appointed by</w:t>
      </w:r>
      <w:r w:rsidR="006E2CB7" w:rsidRPr="008E556F">
        <w:t xml:space="preserve"> the Governor in Council</w:t>
      </w:r>
      <w:r w:rsidR="00C80278">
        <w:t xml:space="preserve">, in accordance </w:t>
      </w:r>
      <w:r w:rsidR="00DE62E9">
        <w:t>with</w:t>
      </w:r>
      <w:r w:rsidR="00C80278">
        <w:t xml:space="preserve"> the QCA Act</w:t>
      </w:r>
      <w:r w:rsidR="006E2CB7" w:rsidRPr="008E556F">
        <w:t>. In appointing members, regard is given to the</w:t>
      </w:r>
      <w:r w:rsidR="00FE4CC3">
        <w:t>ir</w:t>
      </w:r>
      <w:r w:rsidR="006E2CB7" w:rsidRPr="008E556F">
        <w:t xml:space="preserve"> collective knowledge and understanding of commerce, econom</w:t>
      </w:r>
      <w:r w:rsidR="00D11D3A">
        <w:t xml:space="preserve">ics, the </w:t>
      </w:r>
      <w:r w:rsidR="00440613">
        <w:t>responsibilities of the QCA</w:t>
      </w:r>
      <w:r w:rsidR="00553594">
        <w:t>,</w:t>
      </w:r>
      <w:r w:rsidR="00440613">
        <w:t xml:space="preserve"> an</w:t>
      </w:r>
      <w:r w:rsidR="00FE4CC3">
        <w:t>d</w:t>
      </w:r>
      <w:r w:rsidR="00440613">
        <w:t xml:space="preserve"> the </w:t>
      </w:r>
      <w:r w:rsidR="00D11D3A">
        <w:t>interests of consumers</w:t>
      </w:r>
      <w:r w:rsidR="00440613">
        <w:t xml:space="preserve"> and other stakeholders</w:t>
      </w:r>
      <w:r w:rsidR="006E2CB7" w:rsidRPr="008E556F">
        <w:t>.</w:t>
      </w:r>
      <w:r w:rsidR="00D43F0B">
        <w:t xml:space="preserve"> Board m</w:t>
      </w:r>
      <w:r w:rsidR="00C80278">
        <w:t>embers are appointed for a term of not more than five years.</w:t>
      </w:r>
    </w:p>
    <w:p w14:paraId="3F2CEC0A" w14:textId="72A08DCF" w:rsidR="00290C12" w:rsidRPr="00731D6C" w:rsidRDefault="007B3426">
      <w:pPr>
        <w:pStyle w:val="Heading3-brown"/>
        <w:rPr>
          <w:b/>
          <w:bCs/>
        </w:rPr>
      </w:pPr>
      <w:r w:rsidRPr="00731D6C">
        <w:rPr>
          <w:b/>
          <w:bCs/>
          <w:caps w:val="0"/>
        </w:rPr>
        <w:t>Chair</w:t>
      </w:r>
      <w:r w:rsidR="00B1342D" w:rsidRPr="00731D6C">
        <w:rPr>
          <w:b/>
          <w:bCs/>
        </w:rPr>
        <w:t xml:space="preserve"> </w:t>
      </w:r>
    </w:p>
    <w:p w14:paraId="239C1972" w14:textId="40AD8774" w:rsidR="00F055CB" w:rsidRDefault="003419FA" w:rsidP="00EC3818">
      <w:pPr>
        <w:pStyle w:val="Heading3-capsandtight"/>
        <w:spacing w:before="28"/>
      </w:pPr>
      <w:r>
        <w:rPr>
          <w:caps w:val="0"/>
        </w:rPr>
        <w:t>Professor Flavio Menezes</w:t>
      </w:r>
    </w:p>
    <w:p w14:paraId="6648AAC7" w14:textId="729953D1" w:rsidR="00B1342D" w:rsidRDefault="00B1342D" w:rsidP="00F055CB">
      <w:pPr>
        <w:pStyle w:val="QCABodyText"/>
        <w:rPr>
          <w:rStyle w:val="QCAQualificationsBlack"/>
          <w:color w:val="3B3838" w:themeColor="background2" w:themeShade="40"/>
        </w:rPr>
      </w:pPr>
      <w:r>
        <w:rPr>
          <w:rStyle w:val="QCAQualificationsBlack"/>
          <w:color w:val="3B3838" w:themeColor="background2" w:themeShade="40"/>
        </w:rPr>
        <w:t xml:space="preserve">Appointment: </w:t>
      </w:r>
      <w:r w:rsidR="00CE4314">
        <w:rPr>
          <w:rStyle w:val="QCAQualificationsBlack"/>
          <w:color w:val="3B3838" w:themeColor="background2" w:themeShade="40"/>
        </w:rPr>
        <w:t>April 2016–December 2021</w:t>
      </w:r>
    </w:p>
    <w:p w14:paraId="46FC2789" w14:textId="707CFC1C" w:rsidR="007346A8" w:rsidRPr="007346A8" w:rsidRDefault="007346A8" w:rsidP="007346A8">
      <w:pPr>
        <w:pStyle w:val="QCABodyText"/>
        <w:rPr>
          <w:rStyle w:val="QCAQualificationsBlack"/>
          <w:color w:val="3B3838" w:themeColor="background2" w:themeShade="40"/>
          <w:sz w:val="20"/>
        </w:rPr>
      </w:pPr>
      <w:r w:rsidRPr="007346A8">
        <w:rPr>
          <w:rStyle w:val="QCAQualificationsBlack"/>
          <w:color w:val="3B3838" w:themeColor="background2" w:themeShade="40"/>
          <w:sz w:val="20"/>
        </w:rPr>
        <w:t xml:space="preserve">Flavio is a Professor of Economics at The University of Queensland. He is a former </w:t>
      </w:r>
      <w:r w:rsidR="00E7321A">
        <w:rPr>
          <w:rStyle w:val="QCAQualificationsBlack"/>
          <w:color w:val="3B3838" w:themeColor="background2" w:themeShade="40"/>
          <w:sz w:val="20"/>
        </w:rPr>
        <w:t>p</w:t>
      </w:r>
      <w:r w:rsidRPr="007346A8">
        <w:rPr>
          <w:rStyle w:val="QCAQualificationsBlack"/>
          <w:color w:val="3B3838" w:themeColor="background2" w:themeShade="40"/>
          <w:sz w:val="20"/>
        </w:rPr>
        <w:t xml:space="preserve">resident of the Economic Society of Australia (Queensland), was a member of the </w:t>
      </w:r>
      <w:r w:rsidR="0096236C">
        <w:rPr>
          <w:rStyle w:val="QCAQualificationsBlack"/>
          <w:color w:val="3B3838" w:themeColor="background2" w:themeShade="40"/>
          <w:sz w:val="20"/>
        </w:rPr>
        <w:t>a</w:t>
      </w:r>
      <w:r w:rsidRPr="007346A8">
        <w:rPr>
          <w:rStyle w:val="QCAQualificationsBlack"/>
          <w:color w:val="3B3838" w:themeColor="background2" w:themeShade="40"/>
          <w:sz w:val="20"/>
        </w:rPr>
        <w:t xml:space="preserve">dvisory </w:t>
      </w:r>
      <w:r w:rsidR="0096236C">
        <w:rPr>
          <w:rStyle w:val="QCAQualificationsBlack"/>
          <w:color w:val="3B3838" w:themeColor="background2" w:themeShade="40"/>
          <w:sz w:val="20"/>
        </w:rPr>
        <w:t>b</w:t>
      </w:r>
      <w:r w:rsidRPr="007346A8">
        <w:rPr>
          <w:rStyle w:val="QCAQualificationsBlack"/>
          <w:color w:val="3B3838" w:themeColor="background2" w:themeShade="40"/>
          <w:sz w:val="20"/>
        </w:rPr>
        <w:t xml:space="preserve">oard of the </w:t>
      </w:r>
      <w:r w:rsidR="00E7321A">
        <w:rPr>
          <w:rStyle w:val="QCAQualificationsBlack"/>
          <w:color w:val="3B3838" w:themeColor="background2" w:themeShade="40"/>
          <w:sz w:val="20"/>
        </w:rPr>
        <w:t>f</w:t>
      </w:r>
      <w:r w:rsidRPr="007346A8">
        <w:rPr>
          <w:rStyle w:val="QCAQualificationsBlack"/>
          <w:color w:val="3B3838" w:themeColor="background2" w:themeShade="40"/>
          <w:sz w:val="20"/>
        </w:rPr>
        <w:t xml:space="preserve">ederal </w:t>
      </w:r>
      <w:r w:rsidR="00E7321A">
        <w:rPr>
          <w:rStyle w:val="QCAQualificationsBlack"/>
          <w:color w:val="3B3838" w:themeColor="background2" w:themeShade="40"/>
          <w:sz w:val="20"/>
        </w:rPr>
        <w:t>g</w:t>
      </w:r>
      <w:r w:rsidRPr="007346A8">
        <w:rPr>
          <w:rStyle w:val="QCAQualificationsBlack"/>
          <w:color w:val="3B3838" w:themeColor="background2" w:themeShade="40"/>
          <w:sz w:val="20"/>
        </w:rPr>
        <w:t xml:space="preserve">overnment’s Deregulation Taskforce and </w:t>
      </w:r>
      <w:r w:rsidR="00E7321A">
        <w:rPr>
          <w:rStyle w:val="QCAQualificationsBlack"/>
          <w:color w:val="3B3838" w:themeColor="background2" w:themeShade="40"/>
          <w:sz w:val="20"/>
        </w:rPr>
        <w:t xml:space="preserve">was </w:t>
      </w:r>
      <w:r w:rsidRPr="007346A8">
        <w:rPr>
          <w:rStyle w:val="QCAQualificationsBlack"/>
          <w:color w:val="3B3838" w:themeColor="background2" w:themeShade="40"/>
          <w:sz w:val="20"/>
        </w:rPr>
        <w:t>an elected member of the University of Queensland Academic Board and its Standing Committee. Professor Menezes is a fellow of the Academy of the Social Sciences in Australia, a member of editorial boards</w:t>
      </w:r>
      <w:r w:rsidR="00E7321A">
        <w:rPr>
          <w:rStyle w:val="QCAQualificationsBlack"/>
          <w:color w:val="3B3838" w:themeColor="background2" w:themeShade="40"/>
          <w:sz w:val="20"/>
        </w:rPr>
        <w:t>,</w:t>
      </w:r>
      <w:r w:rsidRPr="007346A8">
        <w:rPr>
          <w:rStyle w:val="QCAQualificationsBlack"/>
          <w:color w:val="3B3838" w:themeColor="background2" w:themeShade="40"/>
          <w:sz w:val="20"/>
        </w:rPr>
        <w:t xml:space="preserve"> associate editor of </w:t>
      </w:r>
      <w:proofErr w:type="gramStart"/>
      <w:r w:rsidRPr="007346A8">
        <w:rPr>
          <w:rStyle w:val="QCAQualificationsBlack"/>
          <w:color w:val="3B3838" w:themeColor="background2" w:themeShade="40"/>
          <w:sz w:val="20"/>
        </w:rPr>
        <w:t>a number of</w:t>
      </w:r>
      <w:proofErr w:type="gramEnd"/>
      <w:r w:rsidRPr="007346A8">
        <w:rPr>
          <w:rStyle w:val="QCAQualificationsBlack"/>
          <w:color w:val="3B3838" w:themeColor="background2" w:themeShade="40"/>
          <w:sz w:val="20"/>
        </w:rPr>
        <w:t xml:space="preserve"> international journals and a co-editor of the Economic Record</w:t>
      </w:r>
      <w:r w:rsidR="00E7321A">
        <w:rPr>
          <w:rStyle w:val="QCAQualificationsBlack"/>
          <w:color w:val="3B3838" w:themeColor="background2" w:themeShade="40"/>
          <w:sz w:val="20"/>
        </w:rPr>
        <w:t xml:space="preserve"> journal</w:t>
      </w:r>
      <w:r w:rsidRPr="007346A8">
        <w:rPr>
          <w:rStyle w:val="QCAQualificationsBlack"/>
          <w:color w:val="3B3838" w:themeColor="background2" w:themeShade="40"/>
          <w:sz w:val="20"/>
        </w:rPr>
        <w:t xml:space="preserve">. He has published extensively on the economics of auctions, competition and regulatory economics, industrial </w:t>
      </w:r>
      <w:proofErr w:type="gramStart"/>
      <w:r w:rsidRPr="007346A8">
        <w:rPr>
          <w:rStyle w:val="QCAQualificationsBlack"/>
          <w:color w:val="3B3838" w:themeColor="background2" w:themeShade="40"/>
          <w:sz w:val="20"/>
        </w:rPr>
        <w:t>organisation</w:t>
      </w:r>
      <w:proofErr w:type="gramEnd"/>
      <w:r w:rsidRPr="007346A8">
        <w:rPr>
          <w:rStyle w:val="QCAQualificationsBlack"/>
          <w:color w:val="3B3838" w:themeColor="background2" w:themeShade="40"/>
          <w:sz w:val="20"/>
        </w:rPr>
        <w:t xml:space="preserve"> and market design.</w:t>
      </w:r>
    </w:p>
    <w:p w14:paraId="0CAAE2E4" w14:textId="3CC8D59A" w:rsidR="00BC03F9" w:rsidRPr="009B0C3A" w:rsidRDefault="007346A8" w:rsidP="007346A8">
      <w:pPr>
        <w:pStyle w:val="QCABodyText"/>
        <w:rPr>
          <w:rStyle w:val="QCAQualificationsBlack"/>
          <w:caps/>
          <w:color w:val="3B3838" w:themeColor="background2" w:themeShade="40"/>
          <w:sz w:val="20"/>
        </w:rPr>
      </w:pPr>
      <w:r w:rsidRPr="007346A8">
        <w:rPr>
          <w:rStyle w:val="QCAQualificationsBlack"/>
          <w:color w:val="3B3838" w:themeColor="background2" w:themeShade="40"/>
          <w:sz w:val="20"/>
        </w:rPr>
        <w:t xml:space="preserve">Professor Menezes has extensive consulting experience. His experience in Australia includes advising the </w:t>
      </w:r>
      <w:r w:rsidR="00E7321A">
        <w:rPr>
          <w:rStyle w:val="QCAQualificationsBlack"/>
          <w:color w:val="3B3838" w:themeColor="background2" w:themeShade="40"/>
          <w:sz w:val="20"/>
        </w:rPr>
        <w:t>f</w:t>
      </w:r>
      <w:r w:rsidRPr="007346A8">
        <w:rPr>
          <w:rStyle w:val="QCAQualificationsBlack"/>
          <w:color w:val="3B3838" w:themeColor="background2" w:themeShade="40"/>
          <w:sz w:val="20"/>
        </w:rPr>
        <w:t xml:space="preserve">ederal </w:t>
      </w:r>
      <w:r w:rsidR="00E7321A">
        <w:rPr>
          <w:rStyle w:val="QCAQualificationsBlack"/>
          <w:color w:val="3B3838" w:themeColor="background2" w:themeShade="40"/>
          <w:sz w:val="20"/>
        </w:rPr>
        <w:t>g</w:t>
      </w:r>
      <w:r w:rsidRPr="007346A8">
        <w:rPr>
          <w:rStyle w:val="QCAQualificationsBlack"/>
          <w:color w:val="3B3838" w:themeColor="background2" w:themeShade="40"/>
          <w:sz w:val="20"/>
        </w:rPr>
        <w:t xml:space="preserve">overnment, </w:t>
      </w:r>
      <w:r w:rsidR="008E7204">
        <w:rPr>
          <w:rStyle w:val="QCAQualificationsBlack"/>
          <w:color w:val="3B3838" w:themeColor="background2" w:themeShade="40"/>
          <w:sz w:val="20"/>
        </w:rPr>
        <w:t xml:space="preserve">the </w:t>
      </w:r>
      <w:r w:rsidRPr="007346A8">
        <w:rPr>
          <w:rStyle w:val="QCAQualificationsBlack"/>
          <w:color w:val="3B3838" w:themeColor="background2" w:themeShade="40"/>
          <w:sz w:val="20"/>
        </w:rPr>
        <w:t xml:space="preserve">AEMC, </w:t>
      </w:r>
      <w:r w:rsidR="008E7204">
        <w:rPr>
          <w:rStyle w:val="QCAQualificationsBlack"/>
          <w:color w:val="3B3838" w:themeColor="background2" w:themeShade="40"/>
          <w:sz w:val="20"/>
        </w:rPr>
        <w:t xml:space="preserve">the </w:t>
      </w:r>
      <w:r w:rsidRPr="007346A8">
        <w:rPr>
          <w:rStyle w:val="QCAQualificationsBlack"/>
          <w:color w:val="3B3838" w:themeColor="background2" w:themeShade="40"/>
          <w:sz w:val="20"/>
        </w:rPr>
        <w:t xml:space="preserve">ACCC, IPART, </w:t>
      </w:r>
      <w:r w:rsidR="008E7204">
        <w:rPr>
          <w:rStyle w:val="QCAQualificationsBlack"/>
          <w:color w:val="3B3838" w:themeColor="background2" w:themeShade="40"/>
          <w:sz w:val="20"/>
        </w:rPr>
        <w:t xml:space="preserve">the </w:t>
      </w:r>
      <w:r w:rsidRPr="007346A8">
        <w:rPr>
          <w:rStyle w:val="QCAQualificationsBlack"/>
          <w:color w:val="3B3838" w:themeColor="background2" w:themeShade="40"/>
          <w:sz w:val="20"/>
        </w:rPr>
        <w:t xml:space="preserve">QCA, </w:t>
      </w:r>
      <w:r w:rsidR="00E7321A">
        <w:rPr>
          <w:rStyle w:val="QCAQualificationsBlack"/>
          <w:color w:val="3B3838" w:themeColor="background2" w:themeShade="40"/>
          <w:sz w:val="20"/>
        </w:rPr>
        <w:t xml:space="preserve">and </w:t>
      </w:r>
      <w:r w:rsidRPr="007346A8">
        <w:rPr>
          <w:rStyle w:val="QCAQualificationsBlack"/>
          <w:color w:val="3B3838" w:themeColor="background2" w:themeShade="40"/>
          <w:sz w:val="20"/>
        </w:rPr>
        <w:t xml:space="preserve">the ACT and Victorian </w:t>
      </w:r>
      <w:r w:rsidR="00E7321A">
        <w:rPr>
          <w:rStyle w:val="QCAQualificationsBlack"/>
          <w:color w:val="3B3838" w:themeColor="background2" w:themeShade="40"/>
          <w:sz w:val="20"/>
        </w:rPr>
        <w:t>g</w:t>
      </w:r>
      <w:r w:rsidRPr="007346A8">
        <w:rPr>
          <w:rStyle w:val="QCAQualificationsBlack"/>
          <w:color w:val="3B3838" w:themeColor="background2" w:themeShade="40"/>
          <w:sz w:val="20"/>
        </w:rPr>
        <w:t xml:space="preserve">overnments on market design issues in regulatory environments. </w:t>
      </w:r>
      <w:r w:rsidR="008E7204">
        <w:rPr>
          <w:rStyle w:val="QCAQualificationsBlack"/>
          <w:color w:val="3B3838" w:themeColor="background2" w:themeShade="40"/>
          <w:sz w:val="20"/>
        </w:rPr>
        <w:t>He has also provided</w:t>
      </w:r>
      <w:r w:rsidRPr="007346A8">
        <w:rPr>
          <w:rStyle w:val="QCAQualificationsBlack"/>
          <w:color w:val="3B3838" w:themeColor="background2" w:themeShade="40"/>
          <w:sz w:val="20"/>
        </w:rPr>
        <w:t xml:space="preserve"> economic advice to various private and public organisations on competition and regulatory issues in defence, fisheries, gambling, energy, banking, health, aged care, disability care, transport, ports, </w:t>
      </w:r>
      <w:proofErr w:type="gramStart"/>
      <w:r w:rsidRPr="007346A8">
        <w:rPr>
          <w:rStyle w:val="QCAQualificationsBlack"/>
          <w:color w:val="3B3838" w:themeColor="background2" w:themeShade="40"/>
          <w:sz w:val="20"/>
        </w:rPr>
        <w:t>water</w:t>
      </w:r>
      <w:proofErr w:type="gramEnd"/>
      <w:r w:rsidRPr="007346A8">
        <w:rPr>
          <w:rStyle w:val="QCAQualificationsBlack"/>
          <w:color w:val="3B3838" w:themeColor="background2" w:themeShade="40"/>
          <w:sz w:val="20"/>
        </w:rPr>
        <w:t xml:space="preserve"> and telecommunications.</w:t>
      </w:r>
    </w:p>
    <w:p w14:paraId="03A5F2FB" w14:textId="181E5835" w:rsidR="00B1342D" w:rsidRPr="00731D6C" w:rsidRDefault="007B3426" w:rsidP="00454D6B">
      <w:pPr>
        <w:pStyle w:val="Heading3-brown"/>
        <w:rPr>
          <w:b/>
          <w:bCs/>
        </w:rPr>
      </w:pPr>
      <w:r w:rsidRPr="00731D6C">
        <w:rPr>
          <w:b/>
          <w:bCs/>
          <w:caps w:val="0"/>
        </w:rPr>
        <w:t>Deputy Chair</w:t>
      </w:r>
      <w:r w:rsidR="00B1342D" w:rsidRPr="00731D6C">
        <w:rPr>
          <w:b/>
          <w:bCs/>
        </w:rPr>
        <w:t xml:space="preserve"> </w:t>
      </w:r>
    </w:p>
    <w:p w14:paraId="41024AC7" w14:textId="53627749" w:rsidR="0051397C" w:rsidRDefault="003419FA" w:rsidP="00EC3818">
      <w:pPr>
        <w:pStyle w:val="Heading3-capsandtight"/>
        <w:spacing w:before="28"/>
      </w:pPr>
      <w:r w:rsidRPr="002F0DEF">
        <w:rPr>
          <w:caps w:val="0"/>
        </w:rPr>
        <w:t>Madeline Brennan Q</w:t>
      </w:r>
      <w:r w:rsidRPr="0007505E">
        <w:rPr>
          <w:caps w:val="0"/>
        </w:rPr>
        <w:t>C</w:t>
      </w:r>
    </w:p>
    <w:p w14:paraId="0FFB8D3C" w14:textId="79B0D1D3" w:rsidR="0051397C" w:rsidRDefault="00B1342D" w:rsidP="00CE4314">
      <w:pPr>
        <w:pStyle w:val="QCABodyText"/>
        <w:rPr>
          <w:rStyle w:val="QCAQualificationsBlack"/>
          <w:color w:val="3B3838" w:themeColor="background2" w:themeShade="40"/>
        </w:rPr>
      </w:pPr>
      <w:r>
        <w:rPr>
          <w:rStyle w:val="QCAQualificationsBlack"/>
          <w:color w:val="3B3838" w:themeColor="background2" w:themeShade="40"/>
        </w:rPr>
        <w:t>Appointment</w:t>
      </w:r>
      <w:r w:rsidR="00CE4314">
        <w:rPr>
          <w:rStyle w:val="QCAQualificationsBlack"/>
          <w:color w:val="3B3838" w:themeColor="background2" w:themeShade="40"/>
        </w:rPr>
        <w:t>: April 2016–December 2021</w:t>
      </w:r>
    </w:p>
    <w:p w14:paraId="4CCABE1C" w14:textId="38223200" w:rsidR="002F0DEF" w:rsidRPr="00241A24" w:rsidRDefault="002F0DEF" w:rsidP="002F0DEF">
      <w:pPr>
        <w:pStyle w:val="QCABodyText"/>
        <w:rPr>
          <w:rStyle w:val="QCAQualificationsBlack"/>
          <w:color w:val="3B3838" w:themeColor="background2" w:themeShade="40"/>
          <w:sz w:val="20"/>
        </w:rPr>
      </w:pPr>
      <w:r w:rsidRPr="00241A24">
        <w:rPr>
          <w:rStyle w:val="QCAQualificationsBlack"/>
          <w:color w:val="3B3838" w:themeColor="background2" w:themeShade="40"/>
          <w:sz w:val="20"/>
        </w:rPr>
        <w:t>Madeline is a barrister with 25 years</w:t>
      </w:r>
      <w:r w:rsidR="00E7321A">
        <w:rPr>
          <w:rStyle w:val="QCAQualificationsBlack"/>
          <w:color w:val="3B3838" w:themeColor="background2" w:themeShade="40"/>
          <w:sz w:val="20"/>
        </w:rPr>
        <w:t>’</w:t>
      </w:r>
      <w:r w:rsidRPr="00241A24">
        <w:rPr>
          <w:rStyle w:val="QCAQualificationsBlack"/>
          <w:color w:val="3B3838" w:themeColor="background2" w:themeShade="40"/>
          <w:sz w:val="20"/>
        </w:rPr>
        <w:t xml:space="preserve"> experience as a member of the Queensland bar, as junior counsel (3 June 1996</w:t>
      </w:r>
      <w:r w:rsidR="008E7204">
        <w:rPr>
          <w:rStyle w:val="QCAQualificationsBlack"/>
          <w:color w:val="3B3838" w:themeColor="background2" w:themeShade="40"/>
          <w:sz w:val="20"/>
        </w:rPr>
        <w:t>–</w:t>
      </w:r>
      <w:r w:rsidRPr="00241A24">
        <w:rPr>
          <w:rStyle w:val="QCAQualificationsBlack"/>
          <w:color w:val="3B3838" w:themeColor="background2" w:themeShade="40"/>
          <w:sz w:val="20"/>
        </w:rPr>
        <w:t>2015) and senior counsel (November 2015). In 2000, she was a founding member of Roma Mitchell Chambers in Brisbane.</w:t>
      </w:r>
    </w:p>
    <w:p w14:paraId="32A15897" w14:textId="75B1ADB5" w:rsidR="002F0DEF" w:rsidRPr="00241A24" w:rsidRDefault="002F0DEF" w:rsidP="002F0DEF">
      <w:pPr>
        <w:pStyle w:val="QCABodyText"/>
        <w:rPr>
          <w:rStyle w:val="QCAQualificationsBlack"/>
          <w:color w:val="3B3838" w:themeColor="background2" w:themeShade="40"/>
          <w:sz w:val="20"/>
        </w:rPr>
      </w:pPr>
      <w:r w:rsidRPr="00241A24">
        <w:rPr>
          <w:rStyle w:val="QCAQualificationsBlack"/>
          <w:color w:val="3B3838" w:themeColor="background2" w:themeShade="40"/>
          <w:sz w:val="20"/>
        </w:rPr>
        <w:t xml:space="preserve">Madeline has had a broad practice, inclusive of consumer protection law, general civil litigation, general administrative </w:t>
      </w:r>
      <w:proofErr w:type="gramStart"/>
      <w:r w:rsidRPr="00241A24">
        <w:rPr>
          <w:rStyle w:val="QCAQualificationsBlack"/>
          <w:color w:val="3B3838" w:themeColor="background2" w:themeShade="40"/>
          <w:sz w:val="20"/>
        </w:rPr>
        <w:t>law</w:t>
      </w:r>
      <w:proofErr w:type="gramEnd"/>
      <w:r w:rsidRPr="00241A24">
        <w:rPr>
          <w:rStyle w:val="QCAQualificationsBlack"/>
          <w:color w:val="3B3838" w:themeColor="background2" w:themeShade="40"/>
          <w:sz w:val="20"/>
        </w:rPr>
        <w:t xml:space="preserve"> and family law.  Madeline’s practice currently includes appellate and trial advocacy and advisory work specialising in the </w:t>
      </w:r>
      <w:r w:rsidRPr="00241A24">
        <w:rPr>
          <w:rStyle w:val="QCAQualificationsBlack"/>
          <w:color w:val="3B3838" w:themeColor="background2" w:themeShade="40"/>
          <w:sz w:val="20"/>
        </w:rPr>
        <w:t xml:space="preserve">areas of administrative law, and taxation and revenue law. Madeline has been involved in significant judicial review litigation (including mineral royalty disputes, review of decisions under the </w:t>
      </w:r>
      <w:r w:rsidRPr="00F557CB">
        <w:rPr>
          <w:rStyle w:val="QCAQualificationsBlack"/>
          <w:i/>
          <w:color w:val="3B3838" w:themeColor="background2" w:themeShade="40"/>
          <w:sz w:val="20"/>
        </w:rPr>
        <w:t xml:space="preserve">Environmental Protection Biodiversity Act </w:t>
      </w:r>
      <w:r w:rsidRPr="00241A24">
        <w:rPr>
          <w:rStyle w:val="QCAQualificationsBlack"/>
          <w:color w:val="3B3838" w:themeColor="background2" w:themeShade="40"/>
          <w:sz w:val="20"/>
        </w:rPr>
        <w:t>(</w:t>
      </w:r>
      <w:proofErr w:type="spellStart"/>
      <w:r w:rsidRPr="00241A24">
        <w:rPr>
          <w:rStyle w:val="QCAQualificationsBlack"/>
          <w:color w:val="3B3838" w:themeColor="background2" w:themeShade="40"/>
          <w:sz w:val="20"/>
        </w:rPr>
        <w:t>Cth</w:t>
      </w:r>
      <w:proofErr w:type="spellEnd"/>
      <w:r w:rsidRPr="00241A24">
        <w:rPr>
          <w:rStyle w:val="QCAQualificationsBlack"/>
          <w:color w:val="3B3838" w:themeColor="background2" w:themeShade="40"/>
          <w:sz w:val="20"/>
        </w:rPr>
        <w:t xml:space="preserve">)), and in merits review of a broad range of Queensland </w:t>
      </w:r>
      <w:r w:rsidR="00E7321A">
        <w:rPr>
          <w:rStyle w:val="QCAQualificationsBlack"/>
          <w:color w:val="3B3838" w:themeColor="background2" w:themeShade="40"/>
          <w:sz w:val="20"/>
        </w:rPr>
        <w:t>s</w:t>
      </w:r>
      <w:r w:rsidRPr="00241A24">
        <w:rPr>
          <w:rStyle w:val="QCAQualificationsBlack"/>
          <w:color w:val="3B3838" w:themeColor="background2" w:themeShade="40"/>
          <w:sz w:val="20"/>
        </w:rPr>
        <w:t xml:space="preserve">tate and </w:t>
      </w:r>
      <w:r w:rsidR="00E7321A">
        <w:rPr>
          <w:rStyle w:val="QCAQualificationsBlack"/>
          <w:color w:val="3B3838" w:themeColor="background2" w:themeShade="40"/>
          <w:sz w:val="20"/>
        </w:rPr>
        <w:t>f</w:t>
      </w:r>
      <w:r w:rsidRPr="00241A24">
        <w:rPr>
          <w:rStyle w:val="QCAQualificationsBlack"/>
          <w:color w:val="3B3838" w:themeColor="background2" w:themeShade="40"/>
          <w:sz w:val="20"/>
        </w:rPr>
        <w:t>ederal government decisions.</w:t>
      </w:r>
    </w:p>
    <w:p w14:paraId="0F6E8EEE" w14:textId="42AD1E40" w:rsidR="002F0DEF" w:rsidRPr="00241A24" w:rsidRDefault="002F0DEF" w:rsidP="002F0DEF">
      <w:pPr>
        <w:pStyle w:val="QCABodyText"/>
        <w:rPr>
          <w:rStyle w:val="QCAQualificationsBlack"/>
          <w:color w:val="3B3838" w:themeColor="background2" w:themeShade="40"/>
          <w:sz w:val="20"/>
        </w:rPr>
      </w:pPr>
      <w:r w:rsidRPr="00241A24">
        <w:rPr>
          <w:rStyle w:val="QCAQualificationsBlack"/>
          <w:color w:val="3B3838" w:themeColor="background2" w:themeShade="40"/>
          <w:sz w:val="20"/>
        </w:rPr>
        <w:t>Madeline has served on school, hospital and professional committees and boards. She served for eight years on the Human Research Ethics Committee of the Queensland Institute of Medical Research before her appointment to the QCA in 2016.</w:t>
      </w:r>
    </w:p>
    <w:p w14:paraId="2AAAB2AA" w14:textId="65CA7525" w:rsidR="00B1342D" w:rsidRPr="00731D6C" w:rsidRDefault="007B3426" w:rsidP="0084122A">
      <w:pPr>
        <w:pStyle w:val="Heading3-brown"/>
        <w:keepNext w:val="0"/>
        <w:keepLines w:val="0"/>
        <w:rPr>
          <w:b/>
          <w:bCs/>
        </w:rPr>
      </w:pPr>
      <w:r w:rsidRPr="00731D6C">
        <w:rPr>
          <w:b/>
          <w:bCs/>
          <w:caps w:val="0"/>
        </w:rPr>
        <w:t>Member</w:t>
      </w:r>
    </w:p>
    <w:p w14:paraId="08D77150" w14:textId="5C96CEC3" w:rsidR="00B1342D" w:rsidRDefault="003419FA" w:rsidP="0084122A">
      <w:pPr>
        <w:pStyle w:val="Heading3-capsandtight"/>
        <w:keepNext w:val="0"/>
        <w:keepLines w:val="0"/>
        <w:spacing w:before="28"/>
        <w:rPr>
          <w:caps w:val="0"/>
        </w:rPr>
      </w:pPr>
      <w:r>
        <w:rPr>
          <w:caps w:val="0"/>
        </w:rPr>
        <w:t>Dr Warren Mundy</w:t>
      </w:r>
      <w:r w:rsidR="00804590">
        <w:rPr>
          <w:caps w:val="0"/>
        </w:rPr>
        <w:t xml:space="preserve"> FAICD </w:t>
      </w:r>
      <w:proofErr w:type="spellStart"/>
      <w:r w:rsidR="00804590">
        <w:rPr>
          <w:caps w:val="0"/>
        </w:rPr>
        <w:t>FRAeS</w:t>
      </w:r>
      <w:proofErr w:type="spellEnd"/>
    </w:p>
    <w:p w14:paraId="325E8D20" w14:textId="0315AB2B" w:rsidR="00B1342D" w:rsidRDefault="00B1342D">
      <w:pPr>
        <w:pStyle w:val="QCABodyText"/>
        <w:rPr>
          <w:rStyle w:val="QCAQualificationsBlack"/>
          <w:rFonts w:eastAsiaTheme="majorEastAsia" w:cstheme="majorBidi"/>
          <w:caps/>
          <w:color w:val="3B3838" w:themeColor="background2" w:themeShade="40"/>
          <w:spacing w:val="-2"/>
          <w:szCs w:val="18"/>
        </w:rPr>
      </w:pPr>
      <w:r>
        <w:rPr>
          <w:rStyle w:val="QCAQualificationsBlack"/>
          <w:color w:val="3B3838" w:themeColor="background2" w:themeShade="40"/>
        </w:rPr>
        <w:t>A</w:t>
      </w:r>
      <w:r w:rsidRPr="0084122A">
        <w:rPr>
          <w:rStyle w:val="QCAQualificationsBlack"/>
          <w:color w:val="3B3838" w:themeColor="background2" w:themeShade="40"/>
        </w:rPr>
        <w:t>ppointment: June 2018–</w:t>
      </w:r>
      <w:r w:rsidR="007346A8">
        <w:rPr>
          <w:rStyle w:val="QCAQualificationsBlack"/>
          <w:color w:val="3B3838" w:themeColor="background2" w:themeShade="40"/>
        </w:rPr>
        <w:t>September 2024</w:t>
      </w:r>
    </w:p>
    <w:p w14:paraId="1366EFA1" w14:textId="2966B133" w:rsidR="00A75B57" w:rsidRPr="00A75B57" w:rsidRDefault="00A75B57" w:rsidP="00A75B57">
      <w:pPr>
        <w:pStyle w:val="QCABodyText"/>
        <w:rPr>
          <w:rStyle w:val="QCAQualificationsBlack"/>
          <w:color w:val="3B3838" w:themeColor="background2" w:themeShade="40"/>
          <w:sz w:val="20"/>
        </w:rPr>
      </w:pPr>
      <w:r w:rsidRPr="00A75B57">
        <w:rPr>
          <w:rStyle w:val="QCAQualificationsBlack"/>
          <w:color w:val="3B3838" w:themeColor="background2" w:themeShade="40"/>
          <w:sz w:val="20"/>
        </w:rPr>
        <w:t xml:space="preserve">Warren is the </w:t>
      </w:r>
      <w:r w:rsidR="008E7204">
        <w:rPr>
          <w:rStyle w:val="QCAQualificationsBlack"/>
          <w:color w:val="3B3838" w:themeColor="background2" w:themeShade="40"/>
          <w:sz w:val="20"/>
        </w:rPr>
        <w:t>m</w:t>
      </w:r>
      <w:r w:rsidRPr="00A75B57">
        <w:rPr>
          <w:rStyle w:val="QCAQualificationsBlack"/>
          <w:color w:val="3B3838" w:themeColor="background2" w:themeShade="40"/>
          <w:sz w:val="20"/>
        </w:rPr>
        <w:t xml:space="preserve">anaging </w:t>
      </w:r>
      <w:r w:rsidR="008E7204">
        <w:rPr>
          <w:rStyle w:val="QCAQualificationsBlack"/>
          <w:color w:val="3B3838" w:themeColor="background2" w:themeShade="40"/>
          <w:sz w:val="20"/>
        </w:rPr>
        <w:t>d</w:t>
      </w:r>
      <w:r w:rsidRPr="00A75B57">
        <w:rPr>
          <w:rStyle w:val="QCAQualificationsBlack"/>
          <w:color w:val="3B3838" w:themeColor="background2" w:themeShade="40"/>
          <w:sz w:val="20"/>
        </w:rPr>
        <w:t xml:space="preserve">irector of Bluestone Consulting, which has been providing advice to investors, regulators, providers, and users of a wide range of infrastructure services since 2003. </w:t>
      </w:r>
    </w:p>
    <w:p w14:paraId="6F03B93E" w14:textId="63A8AE4B" w:rsidR="00A75B57" w:rsidRPr="00A75B57" w:rsidRDefault="00A75B57" w:rsidP="00A75B57">
      <w:pPr>
        <w:pStyle w:val="QCABodyText"/>
        <w:rPr>
          <w:rStyle w:val="QCAQualificationsBlack"/>
          <w:color w:val="3B3838" w:themeColor="background2" w:themeShade="40"/>
          <w:sz w:val="20"/>
        </w:rPr>
      </w:pPr>
      <w:r w:rsidRPr="00A75B57">
        <w:rPr>
          <w:rStyle w:val="QCAQualificationsBlack"/>
          <w:color w:val="3B3838" w:themeColor="background2" w:themeShade="40"/>
          <w:sz w:val="20"/>
        </w:rPr>
        <w:t xml:space="preserve">He was a </w:t>
      </w:r>
      <w:r w:rsidR="008E7204">
        <w:rPr>
          <w:rStyle w:val="QCAQualificationsBlack"/>
          <w:color w:val="3B3838" w:themeColor="background2" w:themeShade="40"/>
          <w:sz w:val="20"/>
        </w:rPr>
        <w:t>c</w:t>
      </w:r>
      <w:r w:rsidRPr="00A75B57">
        <w:rPr>
          <w:rStyle w:val="QCAQualificationsBlack"/>
          <w:color w:val="3B3838" w:themeColor="background2" w:themeShade="40"/>
          <w:sz w:val="20"/>
        </w:rPr>
        <w:t xml:space="preserve">ommissioner at the Australian Productivity Commission from 2009 to 2015 </w:t>
      </w:r>
      <w:proofErr w:type="gramStart"/>
      <w:r w:rsidRPr="00A75B57">
        <w:rPr>
          <w:rStyle w:val="QCAQualificationsBlack"/>
          <w:color w:val="3B3838" w:themeColor="background2" w:themeShade="40"/>
          <w:sz w:val="20"/>
        </w:rPr>
        <w:t>and also</w:t>
      </w:r>
      <w:proofErr w:type="gramEnd"/>
      <w:r w:rsidRPr="00A75B57">
        <w:rPr>
          <w:rStyle w:val="QCAQualificationsBlack"/>
          <w:color w:val="3B3838" w:themeColor="background2" w:themeShade="40"/>
          <w:sz w:val="20"/>
        </w:rPr>
        <w:t xml:space="preserve"> served as the Australian Competitive Neutrality Commissioner. He has held executive roles in airport companies in Australia and Europe. </w:t>
      </w:r>
    </w:p>
    <w:p w14:paraId="7CE683D8" w14:textId="72DFDB54" w:rsidR="00A75B57" w:rsidRPr="00A75B57" w:rsidRDefault="00A75B57" w:rsidP="00A75B57">
      <w:pPr>
        <w:pStyle w:val="QCABodyText"/>
        <w:rPr>
          <w:rStyle w:val="QCAQualificationsBlack"/>
          <w:color w:val="3B3838" w:themeColor="background2" w:themeShade="40"/>
          <w:sz w:val="20"/>
        </w:rPr>
      </w:pPr>
      <w:r w:rsidRPr="00A75B57">
        <w:rPr>
          <w:rStyle w:val="QCAQualificationsBlack"/>
          <w:color w:val="3B3838" w:themeColor="background2" w:themeShade="40"/>
          <w:sz w:val="20"/>
        </w:rPr>
        <w:t xml:space="preserve">At </w:t>
      </w:r>
      <w:proofErr w:type="spellStart"/>
      <w:r w:rsidRPr="00A75B57">
        <w:rPr>
          <w:rStyle w:val="QCAQualificationsBlack"/>
          <w:color w:val="3B3838" w:themeColor="background2" w:themeShade="40"/>
          <w:sz w:val="20"/>
        </w:rPr>
        <w:t>Airservices</w:t>
      </w:r>
      <w:proofErr w:type="spellEnd"/>
      <w:r w:rsidRPr="00A75B57">
        <w:rPr>
          <w:rStyle w:val="QCAQualificationsBlack"/>
          <w:color w:val="3B3838" w:themeColor="background2" w:themeShade="40"/>
          <w:sz w:val="20"/>
        </w:rPr>
        <w:t xml:space="preserve"> Australia, he served on the board for more than five years from 2008, including being the </w:t>
      </w:r>
      <w:r w:rsidR="00E7321A">
        <w:rPr>
          <w:rStyle w:val="QCAQualificationsBlack"/>
          <w:color w:val="3B3838" w:themeColor="background2" w:themeShade="40"/>
          <w:sz w:val="20"/>
        </w:rPr>
        <w:t>d</w:t>
      </w:r>
      <w:r w:rsidRPr="00A75B57">
        <w:rPr>
          <w:rStyle w:val="QCAQualificationsBlack"/>
          <w:color w:val="3B3838" w:themeColor="background2" w:themeShade="40"/>
          <w:sz w:val="20"/>
        </w:rPr>
        <w:t xml:space="preserve">eputy </w:t>
      </w:r>
      <w:r w:rsidR="00E7321A">
        <w:rPr>
          <w:rStyle w:val="QCAQualificationsBlack"/>
          <w:color w:val="3B3838" w:themeColor="background2" w:themeShade="40"/>
          <w:sz w:val="20"/>
        </w:rPr>
        <w:t>c</w:t>
      </w:r>
      <w:r w:rsidRPr="00A75B57">
        <w:rPr>
          <w:rStyle w:val="QCAQualificationsBlack"/>
          <w:color w:val="3B3838" w:themeColor="background2" w:themeShade="40"/>
          <w:sz w:val="20"/>
        </w:rPr>
        <w:t xml:space="preserve">hair for over four years. He was also a member of the Steering Committee for the joint NSW and Commonwealth governments’ Sydney Aviation Strategy and continued to advise the Australian Government on Sydney’s second airport until the creation of the company to build the airport. Other roles were as a director of </w:t>
      </w:r>
      <w:proofErr w:type="spellStart"/>
      <w:r w:rsidRPr="00A75B57">
        <w:rPr>
          <w:rStyle w:val="QCAQualificationsBlack"/>
          <w:color w:val="3B3838" w:themeColor="background2" w:themeShade="40"/>
          <w:sz w:val="20"/>
        </w:rPr>
        <w:t>Vic</w:t>
      </w:r>
      <w:r w:rsidR="008E7204">
        <w:rPr>
          <w:rStyle w:val="QCAQualificationsBlack"/>
          <w:color w:val="3B3838" w:themeColor="background2" w:themeShade="40"/>
          <w:sz w:val="20"/>
        </w:rPr>
        <w:t>F</w:t>
      </w:r>
      <w:r w:rsidRPr="00A75B57">
        <w:rPr>
          <w:rStyle w:val="QCAQualificationsBlack"/>
          <w:color w:val="3B3838" w:themeColor="background2" w:themeShade="40"/>
          <w:sz w:val="20"/>
        </w:rPr>
        <w:t>orests</w:t>
      </w:r>
      <w:proofErr w:type="spellEnd"/>
      <w:r w:rsidRPr="00A75B57">
        <w:rPr>
          <w:rStyle w:val="QCAQualificationsBlack"/>
          <w:color w:val="3B3838" w:themeColor="background2" w:themeShade="40"/>
          <w:sz w:val="20"/>
        </w:rPr>
        <w:t xml:space="preserve">, the Western Community Legal </w:t>
      </w:r>
      <w:r w:rsidR="00CF3240">
        <w:rPr>
          <w:rStyle w:val="QCAQualificationsBlack"/>
          <w:color w:val="3B3838" w:themeColor="background2" w:themeShade="40"/>
          <w:sz w:val="20"/>
        </w:rPr>
        <w:t>Centre</w:t>
      </w:r>
      <w:r w:rsidRPr="00A75B57">
        <w:rPr>
          <w:rStyle w:val="QCAQualificationsBlack"/>
          <w:color w:val="3B3838" w:themeColor="background2" w:themeShade="40"/>
          <w:sz w:val="20"/>
        </w:rPr>
        <w:t xml:space="preserve">, the National Health Co-operative, James Watt College </w:t>
      </w:r>
      <w:r w:rsidR="00095680">
        <w:rPr>
          <w:rStyle w:val="QCAQualificationsBlack"/>
          <w:color w:val="3B3838" w:themeColor="background2" w:themeShade="40"/>
          <w:sz w:val="20"/>
        </w:rPr>
        <w:t>of</w:t>
      </w:r>
      <w:r w:rsidR="00095680" w:rsidRPr="00A75B57">
        <w:rPr>
          <w:rStyle w:val="QCAQualificationsBlack"/>
          <w:color w:val="3B3838" w:themeColor="background2" w:themeShade="40"/>
          <w:sz w:val="20"/>
        </w:rPr>
        <w:t xml:space="preserve"> </w:t>
      </w:r>
      <w:r w:rsidRPr="00A75B57">
        <w:rPr>
          <w:rStyle w:val="QCAQualificationsBlack"/>
          <w:color w:val="3B3838" w:themeColor="background2" w:themeShade="40"/>
          <w:sz w:val="20"/>
        </w:rPr>
        <w:t>Higher and Further Education, and the Airports Operators Association</w:t>
      </w:r>
      <w:r w:rsidR="00922364">
        <w:rPr>
          <w:rStyle w:val="QCAQualificationsBlack"/>
          <w:color w:val="3B3838" w:themeColor="background2" w:themeShade="40"/>
          <w:sz w:val="20"/>
        </w:rPr>
        <w:t xml:space="preserve"> (United Kingdo</w:t>
      </w:r>
      <w:r w:rsidR="00CF3240">
        <w:rPr>
          <w:rStyle w:val="QCAQualificationsBlack"/>
          <w:color w:val="3B3838" w:themeColor="background2" w:themeShade="40"/>
          <w:sz w:val="20"/>
        </w:rPr>
        <w:t>m</w:t>
      </w:r>
      <w:r w:rsidR="00922364">
        <w:rPr>
          <w:rStyle w:val="QCAQualificationsBlack"/>
          <w:color w:val="3B3838" w:themeColor="background2" w:themeShade="40"/>
          <w:sz w:val="20"/>
        </w:rPr>
        <w:t>)</w:t>
      </w:r>
      <w:r w:rsidRPr="00A75B57">
        <w:rPr>
          <w:rStyle w:val="QCAQualificationsBlack"/>
          <w:color w:val="3B3838" w:themeColor="background2" w:themeShade="40"/>
          <w:sz w:val="20"/>
        </w:rPr>
        <w:t>.</w:t>
      </w:r>
    </w:p>
    <w:p w14:paraId="6D7F2AFE" w14:textId="16C8C808" w:rsidR="00A75B57" w:rsidRPr="002E132D" w:rsidRDefault="00A75B57" w:rsidP="008024ED">
      <w:pPr>
        <w:pStyle w:val="QCABodyText"/>
        <w:rPr>
          <w:rStyle w:val="QCAQualificationsBlack"/>
          <w:color w:val="3B3838" w:themeColor="background2" w:themeShade="40"/>
          <w:sz w:val="20"/>
        </w:rPr>
      </w:pPr>
      <w:r w:rsidRPr="002E132D">
        <w:rPr>
          <w:rStyle w:val="QCAQualificationsBlack"/>
          <w:color w:val="3B3838" w:themeColor="background2" w:themeShade="40"/>
          <w:sz w:val="20"/>
        </w:rPr>
        <w:t xml:space="preserve">Dr Mundy is currently </w:t>
      </w:r>
      <w:r w:rsidR="00E7321A">
        <w:rPr>
          <w:rStyle w:val="QCAQualificationsBlack"/>
          <w:color w:val="3B3838" w:themeColor="background2" w:themeShade="40"/>
          <w:sz w:val="20"/>
        </w:rPr>
        <w:t>c</w:t>
      </w:r>
      <w:r w:rsidR="008063EE">
        <w:rPr>
          <w:rStyle w:val="QCAQualificationsBlack"/>
          <w:color w:val="3B3838" w:themeColor="background2" w:themeShade="40"/>
          <w:sz w:val="20"/>
        </w:rPr>
        <w:t xml:space="preserve">hair of the Energy Industries Superannuation Scheme and </w:t>
      </w:r>
      <w:r w:rsidRPr="002E132D">
        <w:rPr>
          <w:rStyle w:val="QCAQualificationsBlack"/>
          <w:color w:val="3B3838" w:themeColor="background2" w:themeShade="40"/>
          <w:sz w:val="20"/>
        </w:rPr>
        <w:t>a director of the Sydney Desalination Plant</w:t>
      </w:r>
      <w:r w:rsidR="008063EE">
        <w:rPr>
          <w:rStyle w:val="QCAQualificationsBlack"/>
          <w:color w:val="3B3838" w:themeColor="background2" w:themeShade="40"/>
          <w:sz w:val="20"/>
        </w:rPr>
        <w:t xml:space="preserve"> and</w:t>
      </w:r>
      <w:r w:rsidRPr="002E132D">
        <w:rPr>
          <w:rStyle w:val="QCAQualificationsBlack"/>
          <w:color w:val="3B3838" w:themeColor="background2" w:themeShade="40"/>
          <w:sz w:val="20"/>
        </w:rPr>
        <w:t xml:space="preserve"> </w:t>
      </w:r>
      <w:r w:rsidR="00B30CA4">
        <w:rPr>
          <w:rStyle w:val="QCAQualificationsBlack"/>
          <w:color w:val="3B3838" w:themeColor="background2" w:themeShade="40"/>
          <w:sz w:val="20"/>
        </w:rPr>
        <w:t xml:space="preserve">of </w:t>
      </w:r>
      <w:r w:rsidRPr="002E132D">
        <w:rPr>
          <w:rStyle w:val="QCAQualificationsBlack"/>
          <w:color w:val="3B3838" w:themeColor="background2" w:themeShade="40"/>
          <w:sz w:val="20"/>
        </w:rPr>
        <w:t>Trans</w:t>
      </w:r>
      <w:r w:rsidR="00B30CA4">
        <w:rPr>
          <w:rStyle w:val="QCAQualificationsBlack"/>
          <w:color w:val="3B3838" w:themeColor="background2" w:themeShade="40"/>
          <w:sz w:val="20"/>
        </w:rPr>
        <w:t>G</w:t>
      </w:r>
      <w:r w:rsidRPr="002E132D">
        <w:rPr>
          <w:rStyle w:val="QCAQualificationsBlack"/>
          <w:color w:val="3B3838" w:themeColor="background2" w:themeShade="40"/>
          <w:sz w:val="20"/>
        </w:rPr>
        <w:t>rid</w:t>
      </w:r>
      <w:r w:rsidRPr="00A75B57">
        <w:rPr>
          <w:rStyle w:val="QCAQualificationsBlack"/>
          <w:color w:val="3B3838" w:themeColor="background2" w:themeShade="40"/>
          <w:sz w:val="20"/>
        </w:rPr>
        <w:t>.</w:t>
      </w:r>
    </w:p>
    <w:p w14:paraId="3783273E" w14:textId="61F383AD" w:rsidR="00FA2232" w:rsidRPr="00731D6C" w:rsidRDefault="007B3426" w:rsidP="0084122A">
      <w:pPr>
        <w:pStyle w:val="Heading3-brown"/>
        <w:keepNext w:val="0"/>
        <w:keepLines w:val="0"/>
        <w:rPr>
          <w:b/>
          <w:bCs/>
        </w:rPr>
      </w:pPr>
      <w:r w:rsidRPr="00731D6C">
        <w:rPr>
          <w:b/>
          <w:bCs/>
          <w:caps w:val="0"/>
        </w:rPr>
        <w:t>Member</w:t>
      </w:r>
    </w:p>
    <w:p w14:paraId="7716162F" w14:textId="5F5C70D3" w:rsidR="004D3A45" w:rsidRDefault="003419FA" w:rsidP="0084122A">
      <w:pPr>
        <w:pStyle w:val="Heading3-capsandtight"/>
        <w:keepNext w:val="0"/>
        <w:keepLines w:val="0"/>
        <w:spacing w:before="28"/>
      </w:pPr>
      <w:r>
        <w:rPr>
          <w:caps w:val="0"/>
        </w:rPr>
        <w:t>Fiona Guthrie AM</w:t>
      </w:r>
    </w:p>
    <w:p w14:paraId="599F01EC" w14:textId="5352AFEC" w:rsidR="003A4A6A" w:rsidRDefault="003A4A6A" w:rsidP="00461D47">
      <w:pPr>
        <w:pStyle w:val="QCABodyText"/>
        <w:rPr>
          <w:rStyle w:val="QCAQualificationsBlack"/>
          <w:color w:val="3B3838" w:themeColor="background2" w:themeShade="40"/>
        </w:rPr>
      </w:pPr>
      <w:r w:rsidRPr="003A4A6A">
        <w:rPr>
          <w:rStyle w:val="QCAQualificationsBlack"/>
          <w:color w:val="3B3838" w:themeColor="background2" w:themeShade="40"/>
        </w:rPr>
        <w:t>Appointment: January 2019–December 2021</w:t>
      </w:r>
    </w:p>
    <w:p w14:paraId="333A8654" w14:textId="77777777" w:rsidR="009B0C3A" w:rsidRPr="009B0C3A" w:rsidRDefault="009B0C3A" w:rsidP="009B0C3A">
      <w:pPr>
        <w:pStyle w:val="QCABodyText"/>
        <w:rPr>
          <w:rStyle w:val="QCAQualificationsBlack"/>
          <w:rFonts w:eastAsiaTheme="majorEastAsia" w:cstheme="majorBidi"/>
          <w:color w:val="3B3838" w:themeColor="background2" w:themeShade="40"/>
          <w:spacing w:val="-2"/>
          <w:sz w:val="20"/>
          <w:szCs w:val="18"/>
        </w:rPr>
      </w:pPr>
      <w:r w:rsidRPr="009B0C3A">
        <w:rPr>
          <w:rStyle w:val="QCAQualificationsBlack"/>
          <w:rFonts w:eastAsiaTheme="majorEastAsia" w:cstheme="majorBidi"/>
          <w:color w:val="3B3838" w:themeColor="background2" w:themeShade="40"/>
          <w:spacing w:val="-2"/>
          <w:sz w:val="20"/>
          <w:szCs w:val="18"/>
        </w:rPr>
        <w:t xml:space="preserve">Fiona is currently the chief executive of Financial Counselling Australia. Financial counsellors provide advice and support to people with money and debt problems. </w:t>
      </w:r>
    </w:p>
    <w:p w14:paraId="674021A6" w14:textId="77777777" w:rsidR="009B0C3A" w:rsidRPr="009B0C3A" w:rsidRDefault="009B0C3A" w:rsidP="009B0C3A">
      <w:pPr>
        <w:pStyle w:val="QCABodyText"/>
        <w:rPr>
          <w:rStyle w:val="QCAQualificationsBlack"/>
          <w:rFonts w:eastAsiaTheme="majorEastAsia" w:cstheme="majorBidi"/>
          <w:color w:val="3B3838" w:themeColor="background2" w:themeShade="40"/>
          <w:spacing w:val="-2"/>
          <w:sz w:val="20"/>
          <w:szCs w:val="18"/>
        </w:rPr>
      </w:pPr>
      <w:r w:rsidRPr="009B0C3A">
        <w:rPr>
          <w:rStyle w:val="QCAQualificationsBlack"/>
          <w:rFonts w:eastAsiaTheme="majorEastAsia" w:cstheme="majorBidi"/>
          <w:color w:val="3B3838" w:themeColor="background2" w:themeShade="40"/>
          <w:spacing w:val="-2"/>
          <w:sz w:val="20"/>
          <w:szCs w:val="18"/>
        </w:rPr>
        <w:t xml:space="preserve">Fiona has 30 years' experience in consumer advocacy, including </w:t>
      </w:r>
      <w:proofErr w:type="gramStart"/>
      <w:r w:rsidRPr="009B0C3A">
        <w:rPr>
          <w:rStyle w:val="QCAQualificationsBlack"/>
          <w:rFonts w:eastAsiaTheme="majorEastAsia" w:cstheme="majorBidi"/>
          <w:color w:val="3B3838" w:themeColor="background2" w:themeShade="40"/>
          <w:spacing w:val="-2"/>
          <w:sz w:val="20"/>
          <w:szCs w:val="18"/>
        </w:rPr>
        <w:t>a number of</w:t>
      </w:r>
      <w:proofErr w:type="gramEnd"/>
      <w:r w:rsidRPr="009B0C3A">
        <w:rPr>
          <w:rStyle w:val="QCAQualificationsBlack"/>
          <w:rFonts w:eastAsiaTheme="majorEastAsia" w:cstheme="majorBidi"/>
          <w:color w:val="3B3838" w:themeColor="background2" w:themeShade="40"/>
          <w:spacing w:val="-2"/>
          <w:sz w:val="20"/>
          <w:szCs w:val="18"/>
        </w:rPr>
        <w:t xml:space="preserve"> years on the executive of the Consumers Federation of Australia. </w:t>
      </w:r>
      <w:r w:rsidRPr="009B0C3A">
        <w:rPr>
          <w:rStyle w:val="QCAQualificationsBlack"/>
          <w:rFonts w:eastAsiaTheme="majorEastAsia" w:cstheme="majorBidi"/>
          <w:color w:val="3B3838" w:themeColor="background2" w:themeShade="40"/>
          <w:spacing w:val="-2"/>
          <w:sz w:val="20"/>
          <w:szCs w:val="18"/>
        </w:rPr>
        <w:lastRenderedPageBreak/>
        <w:t>She first became involved in issues affecting consumers, particularly people on low incomes or in vulnerable circumstances, after volunteering as a financial counsellor at Caxton Legal Centre in Brisbane in 1989.</w:t>
      </w:r>
    </w:p>
    <w:p w14:paraId="2257D50B" w14:textId="2FAE90DB" w:rsidR="009B0C3A" w:rsidRPr="009B0C3A" w:rsidRDefault="009B0C3A" w:rsidP="009B0C3A">
      <w:pPr>
        <w:pStyle w:val="QCABodyText"/>
        <w:rPr>
          <w:rStyle w:val="QCAQualificationsBlack"/>
          <w:rFonts w:eastAsiaTheme="majorEastAsia" w:cstheme="majorBidi"/>
          <w:color w:val="3B3838" w:themeColor="background2" w:themeShade="40"/>
          <w:spacing w:val="-2"/>
          <w:sz w:val="20"/>
          <w:szCs w:val="18"/>
        </w:rPr>
      </w:pPr>
      <w:r w:rsidRPr="009B0C3A">
        <w:rPr>
          <w:rStyle w:val="QCAQualificationsBlack"/>
          <w:rFonts w:eastAsiaTheme="majorEastAsia" w:cstheme="majorBidi"/>
          <w:color w:val="3B3838" w:themeColor="background2" w:themeShade="40"/>
          <w:spacing w:val="-2"/>
          <w:sz w:val="20"/>
          <w:szCs w:val="18"/>
        </w:rPr>
        <w:t xml:space="preserve">She has held directorships on Energex Retail, the Insurance Ombudsman Service and the Financial Ombudsman Service and was previously </w:t>
      </w:r>
      <w:r w:rsidR="0096236C">
        <w:rPr>
          <w:rStyle w:val="QCAQualificationsBlack"/>
          <w:rFonts w:eastAsiaTheme="majorEastAsia" w:cstheme="majorBidi"/>
          <w:color w:val="3B3838" w:themeColor="background2" w:themeShade="40"/>
          <w:spacing w:val="-2"/>
          <w:sz w:val="20"/>
          <w:szCs w:val="18"/>
        </w:rPr>
        <w:t>c</w:t>
      </w:r>
      <w:r w:rsidRPr="009B0C3A">
        <w:rPr>
          <w:rStyle w:val="QCAQualificationsBlack"/>
          <w:rFonts w:eastAsiaTheme="majorEastAsia" w:cstheme="majorBidi"/>
          <w:color w:val="3B3838" w:themeColor="background2" w:themeShade="40"/>
          <w:spacing w:val="-2"/>
          <w:sz w:val="20"/>
          <w:szCs w:val="18"/>
        </w:rPr>
        <w:t xml:space="preserve">hair of ASIC’s Consumer Advisory Panel. </w:t>
      </w:r>
    </w:p>
    <w:p w14:paraId="1E94C484" w14:textId="036EEA36" w:rsidR="009B0C3A" w:rsidRPr="009B0C3A" w:rsidRDefault="009B0C3A" w:rsidP="009B0C3A">
      <w:pPr>
        <w:pStyle w:val="QCABodyText"/>
        <w:rPr>
          <w:rStyle w:val="QCAQualificationsBlack"/>
          <w:rFonts w:eastAsiaTheme="majorEastAsia" w:cstheme="majorBidi"/>
          <w:color w:val="3B3838" w:themeColor="background2" w:themeShade="40"/>
          <w:spacing w:val="-2"/>
          <w:sz w:val="20"/>
          <w:szCs w:val="18"/>
        </w:rPr>
      </w:pPr>
      <w:r w:rsidRPr="009B0C3A">
        <w:rPr>
          <w:rStyle w:val="QCAQualificationsBlack"/>
          <w:rFonts w:eastAsiaTheme="majorEastAsia" w:cstheme="majorBidi"/>
          <w:color w:val="3B3838" w:themeColor="background2" w:themeShade="40"/>
          <w:spacing w:val="-2"/>
          <w:sz w:val="20"/>
          <w:szCs w:val="18"/>
        </w:rPr>
        <w:t xml:space="preserve">Fiona is currently a member of the ACCC's Consumer Consultative Committee and a member of the </w:t>
      </w:r>
      <w:r w:rsidR="0096236C">
        <w:rPr>
          <w:rStyle w:val="QCAQualificationsBlack"/>
          <w:rFonts w:eastAsiaTheme="majorEastAsia" w:cstheme="majorBidi"/>
          <w:color w:val="3B3838" w:themeColor="background2" w:themeShade="40"/>
          <w:spacing w:val="-2"/>
          <w:sz w:val="20"/>
          <w:szCs w:val="18"/>
        </w:rPr>
        <w:t>b</w:t>
      </w:r>
      <w:r w:rsidRPr="009B0C3A">
        <w:rPr>
          <w:rStyle w:val="QCAQualificationsBlack"/>
          <w:rFonts w:eastAsiaTheme="majorEastAsia" w:cstheme="majorBidi"/>
          <w:color w:val="3B3838" w:themeColor="background2" w:themeShade="40"/>
          <w:spacing w:val="-2"/>
          <w:sz w:val="20"/>
          <w:szCs w:val="18"/>
        </w:rPr>
        <w:t xml:space="preserve">oard of </w:t>
      </w:r>
      <w:r w:rsidR="0096236C">
        <w:rPr>
          <w:rStyle w:val="QCAQualificationsBlack"/>
          <w:rFonts w:eastAsiaTheme="majorEastAsia" w:cstheme="majorBidi"/>
          <w:color w:val="3B3838" w:themeColor="background2" w:themeShade="40"/>
          <w:spacing w:val="-2"/>
          <w:sz w:val="20"/>
          <w:szCs w:val="18"/>
        </w:rPr>
        <w:t xml:space="preserve">both </w:t>
      </w:r>
      <w:r w:rsidRPr="009B0C3A">
        <w:rPr>
          <w:rStyle w:val="QCAQualificationsBlack"/>
          <w:rFonts w:eastAsiaTheme="majorEastAsia" w:cstheme="majorBidi"/>
          <w:color w:val="3B3838" w:themeColor="background2" w:themeShade="40"/>
          <w:spacing w:val="-2"/>
          <w:sz w:val="20"/>
          <w:szCs w:val="18"/>
        </w:rPr>
        <w:t xml:space="preserve">Way Forward Debt Solutions and Choice. </w:t>
      </w:r>
    </w:p>
    <w:p w14:paraId="091A7AA8" w14:textId="55DA74BB" w:rsidR="003A4A6A" w:rsidRPr="00273B81" w:rsidRDefault="009B0C3A" w:rsidP="00273B81">
      <w:pPr>
        <w:pStyle w:val="QCABodyText"/>
        <w:rPr>
          <w:rStyle w:val="QCAQualificationsBlack"/>
          <w:rFonts w:eastAsiaTheme="majorEastAsia" w:cstheme="majorBidi"/>
          <w:caps/>
          <w:color w:val="3B3838" w:themeColor="background2" w:themeShade="40"/>
          <w:spacing w:val="-2"/>
          <w:sz w:val="20"/>
          <w:szCs w:val="18"/>
        </w:rPr>
      </w:pPr>
      <w:r w:rsidRPr="009B0C3A">
        <w:rPr>
          <w:rStyle w:val="QCAQualificationsBlack"/>
          <w:rFonts w:eastAsiaTheme="majorEastAsia" w:cstheme="majorBidi"/>
          <w:color w:val="3B3838" w:themeColor="background2" w:themeShade="40"/>
          <w:spacing w:val="-2"/>
          <w:sz w:val="20"/>
          <w:szCs w:val="18"/>
        </w:rPr>
        <w:t>She was a recipient of an Order of Australia in the 2017 Queen's Birthday honours for significant service to the community through social welfare and financial counselling roles.</w:t>
      </w:r>
    </w:p>
    <w:p w14:paraId="2F537709" w14:textId="77777777" w:rsidR="003A4A6A" w:rsidRPr="00273B81" w:rsidRDefault="003A4A6A" w:rsidP="00273B81">
      <w:pPr>
        <w:pStyle w:val="QCABodyText"/>
        <w:rPr>
          <w:rStyle w:val="QCAQualificationsBlack"/>
          <w:rFonts w:eastAsiaTheme="majorEastAsia" w:cstheme="majorBidi"/>
          <w:caps/>
          <w:color w:val="3B3838" w:themeColor="background2" w:themeShade="40"/>
          <w:spacing w:val="-2"/>
          <w:sz w:val="20"/>
          <w:szCs w:val="18"/>
        </w:rPr>
      </w:pPr>
    </w:p>
    <w:p w14:paraId="42A0BB1F" w14:textId="77777777" w:rsidR="00C636F0" w:rsidRPr="008455F2" w:rsidRDefault="00C636F0" w:rsidP="00C636F0">
      <w:pPr>
        <w:pStyle w:val="Heading2"/>
      </w:pPr>
      <w:bookmarkStart w:id="76" w:name="_Toc80792946"/>
      <w:r w:rsidRPr="00C52A20">
        <w:t>Senior staff</w:t>
      </w:r>
      <w:bookmarkEnd w:id="76"/>
    </w:p>
    <w:p w14:paraId="2B376257" w14:textId="77777777" w:rsidR="00C636F0" w:rsidRPr="00731D6C" w:rsidRDefault="00C636F0" w:rsidP="00C636F0">
      <w:pPr>
        <w:pStyle w:val="Heading3-brown"/>
        <w:rPr>
          <w:b/>
          <w:bCs/>
          <w:sz w:val="20"/>
          <w:szCs w:val="20"/>
        </w:rPr>
      </w:pPr>
      <w:r w:rsidRPr="00731D6C">
        <w:rPr>
          <w:b/>
          <w:bCs/>
          <w:caps w:val="0"/>
          <w:sz w:val="20"/>
          <w:szCs w:val="20"/>
        </w:rPr>
        <w:t>Chief Executive Officer</w:t>
      </w:r>
    </w:p>
    <w:p w14:paraId="06C4616D" w14:textId="77777777" w:rsidR="00C636F0" w:rsidRDefault="00C636F0" w:rsidP="00C636F0">
      <w:pPr>
        <w:pStyle w:val="Heading3-capsandtight"/>
        <w:spacing w:before="28"/>
      </w:pPr>
      <w:r w:rsidRPr="00A41E09">
        <w:rPr>
          <w:caps w:val="0"/>
        </w:rPr>
        <w:t>Charles Millsteed</w:t>
      </w:r>
      <w:r w:rsidRPr="00980CBD">
        <w:t xml:space="preserve"> </w:t>
      </w:r>
    </w:p>
    <w:p w14:paraId="36DA4074" w14:textId="511BBDE2" w:rsidR="00C636F0" w:rsidRDefault="00C636F0" w:rsidP="00C636F0">
      <w:pPr>
        <w:pStyle w:val="QCABodyText"/>
      </w:pPr>
      <w:r>
        <w:t xml:space="preserve">Charles </w:t>
      </w:r>
      <w:proofErr w:type="spellStart"/>
      <w:r>
        <w:t>rejoined</w:t>
      </w:r>
      <w:proofErr w:type="spellEnd"/>
      <w:r>
        <w:t xml:space="preserve"> the QCA in 2010.</w:t>
      </w:r>
    </w:p>
    <w:p w14:paraId="6DE78245" w14:textId="77777777" w:rsidR="00C636F0" w:rsidRDefault="00C636F0" w:rsidP="00C636F0">
      <w:pPr>
        <w:pStyle w:val="QCABodyText"/>
      </w:pPr>
      <w:r>
        <w:t>He commenced as CEO in September 2016 after various roles in senior management, including during a period of significant change for the QCA.</w:t>
      </w:r>
    </w:p>
    <w:p w14:paraId="657D92FD" w14:textId="77777777" w:rsidR="00C636F0" w:rsidRDefault="00C636F0" w:rsidP="00C636F0">
      <w:pPr>
        <w:pStyle w:val="QCABodyText"/>
      </w:pPr>
      <w:r>
        <w:t xml:space="preserve">Charles has broad experience in policy analysis and economic regulation. He commenced his career at the Australian Bureau of Agricultural and Resource Economics, focusing on energy market analysis and assessing the impact of trade, </w:t>
      </w:r>
      <w:proofErr w:type="gramStart"/>
      <w:r>
        <w:t>investment</w:t>
      </w:r>
      <w:proofErr w:type="gramEnd"/>
      <w:r>
        <w:t xml:space="preserve"> and climate change policies.</w:t>
      </w:r>
    </w:p>
    <w:p w14:paraId="1D7CF2EB" w14:textId="77777777" w:rsidR="00C636F0" w:rsidRDefault="00C636F0" w:rsidP="00C636F0">
      <w:pPr>
        <w:pStyle w:val="QCABodyText"/>
      </w:pPr>
      <w:r>
        <w:t>Since 2001, Charles worked in economic regulation in various roles at the QCA, Ergon Energy and the Australian Energy Regulator.</w:t>
      </w:r>
    </w:p>
    <w:p w14:paraId="5D7FD046" w14:textId="77777777" w:rsidR="00C636F0" w:rsidRPr="00731D6C" w:rsidRDefault="00C636F0" w:rsidP="00C636F0">
      <w:pPr>
        <w:pStyle w:val="Heading3-brown"/>
        <w:keepNext w:val="0"/>
        <w:keepLines w:val="0"/>
        <w:rPr>
          <w:b/>
          <w:bCs/>
          <w:sz w:val="20"/>
          <w:szCs w:val="20"/>
        </w:rPr>
      </w:pPr>
      <w:r w:rsidRPr="00731D6C">
        <w:rPr>
          <w:b/>
          <w:bCs/>
          <w:caps w:val="0"/>
          <w:sz w:val="20"/>
          <w:szCs w:val="20"/>
        </w:rPr>
        <w:t>Director—Business Performance</w:t>
      </w:r>
    </w:p>
    <w:p w14:paraId="0B660265" w14:textId="77777777" w:rsidR="00C636F0" w:rsidRDefault="00C636F0" w:rsidP="00C636F0">
      <w:pPr>
        <w:pStyle w:val="Heading3-capsandtight"/>
        <w:keepNext w:val="0"/>
        <w:keepLines w:val="0"/>
        <w:spacing w:before="28"/>
      </w:pPr>
      <w:r>
        <w:rPr>
          <w:caps w:val="0"/>
        </w:rPr>
        <w:t>George Passmore</w:t>
      </w:r>
    </w:p>
    <w:p w14:paraId="6376A4EC" w14:textId="77777777" w:rsidR="00C636F0" w:rsidRDefault="00C636F0" w:rsidP="00C636F0">
      <w:pPr>
        <w:pStyle w:val="Heading3-capsandtight"/>
        <w:keepNext w:val="0"/>
        <w:keepLines w:val="0"/>
        <w:spacing w:before="28"/>
        <w:rPr>
          <w:rFonts w:asciiTheme="minorHAnsi" w:eastAsiaTheme="minorHAnsi" w:hAnsiTheme="minorHAnsi" w:cstheme="minorBidi"/>
          <w:caps w:val="0"/>
          <w:color w:val="3B3838" w:themeColor="background2" w:themeShade="40"/>
          <w:spacing w:val="0"/>
          <w:sz w:val="20"/>
          <w:szCs w:val="22"/>
        </w:rPr>
      </w:pPr>
      <w:r>
        <w:rPr>
          <w:rFonts w:asciiTheme="minorHAnsi" w:eastAsiaTheme="minorHAnsi" w:hAnsiTheme="minorHAnsi" w:cstheme="minorBidi"/>
          <w:caps w:val="0"/>
          <w:color w:val="3B3838" w:themeColor="background2" w:themeShade="40"/>
          <w:spacing w:val="0"/>
          <w:sz w:val="20"/>
          <w:szCs w:val="22"/>
        </w:rPr>
        <w:t>George joined the QCA in 2000.</w:t>
      </w:r>
    </w:p>
    <w:p w14:paraId="59A1CF78" w14:textId="77777777" w:rsidR="00C636F0" w:rsidRPr="00E3567C" w:rsidRDefault="00C636F0" w:rsidP="00C636F0">
      <w:pPr>
        <w:pStyle w:val="Heading3-capsandtight"/>
        <w:keepNext w:val="0"/>
        <w:keepLines w:val="0"/>
        <w:spacing w:before="28"/>
        <w:rPr>
          <w:rFonts w:asciiTheme="minorHAnsi" w:eastAsiaTheme="minorHAnsi" w:hAnsiTheme="minorHAnsi" w:cstheme="minorBidi"/>
          <w:caps w:val="0"/>
          <w:color w:val="3B3838" w:themeColor="background2" w:themeShade="40"/>
          <w:spacing w:val="0"/>
          <w:sz w:val="20"/>
          <w:szCs w:val="22"/>
        </w:rPr>
      </w:pPr>
      <w:r w:rsidRPr="00E3567C">
        <w:rPr>
          <w:rFonts w:asciiTheme="minorHAnsi" w:eastAsiaTheme="minorHAnsi" w:hAnsiTheme="minorHAnsi" w:cstheme="minorBidi"/>
          <w:caps w:val="0"/>
          <w:color w:val="3B3838" w:themeColor="background2" w:themeShade="40"/>
          <w:spacing w:val="0"/>
          <w:sz w:val="20"/>
          <w:szCs w:val="22"/>
        </w:rPr>
        <w:t xml:space="preserve">George has </w:t>
      </w:r>
      <w:r>
        <w:rPr>
          <w:rFonts w:asciiTheme="minorHAnsi" w:eastAsiaTheme="minorHAnsi" w:hAnsiTheme="minorHAnsi" w:cstheme="minorBidi"/>
          <w:caps w:val="0"/>
          <w:color w:val="3B3838" w:themeColor="background2" w:themeShade="40"/>
          <w:spacing w:val="0"/>
          <w:sz w:val="20"/>
          <w:szCs w:val="22"/>
        </w:rPr>
        <w:t>over</w:t>
      </w:r>
      <w:r w:rsidRPr="00E3567C">
        <w:rPr>
          <w:rFonts w:asciiTheme="minorHAnsi" w:eastAsiaTheme="minorHAnsi" w:hAnsiTheme="minorHAnsi" w:cstheme="minorBidi"/>
          <w:caps w:val="0"/>
          <w:color w:val="3B3838" w:themeColor="background2" w:themeShade="40"/>
          <w:spacing w:val="0"/>
          <w:sz w:val="20"/>
          <w:szCs w:val="22"/>
        </w:rPr>
        <w:t xml:space="preserve"> 20 years’ experience in economic regulation.</w:t>
      </w:r>
    </w:p>
    <w:p w14:paraId="2FA1115A" w14:textId="45FE54F6" w:rsidR="00C636F0" w:rsidRPr="00E3567C" w:rsidRDefault="00922364" w:rsidP="00C636F0">
      <w:pPr>
        <w:pStyle w:val="Heading3-capsandtight"/>
        <w:keepNext w:val="0"/>
        <w:keepLines w:val="0"/>
        <w:spacing w:before="28"/>
        <w:rPr>
          <w:rFonts w:asciiTheme="minorHAnsi" w:eastAsiaTheme="minorHAnsi" w:hAnsiTheme="minorHAnsi" w:cstheme="minorBidi"/>
          <w:caps w:val="0"/>
          <w:color w:val="3B3838" w:themeColor="background2" w:themeShade="40"/>
          <w:spacing w:val="0"/>
          <w:sz w:val="20"/>
          <w:szCs w:val="22"/>
        </w:rPr>
      </w:pPr>
      <w:r>
        <w:rPr>
          <w:rFonts w:asciiTheme="minorHAnsi" w:eastAsiaTheme="minorHAnsi" w:hAnsiTheme="minorHAnsi" w:cstheme="minorBidi"/>
          <w:caps w:val="0"/>
          <w:color w:val="3B3838" w:themeColor="background2" w:themeShade="40"/>
          <w:spacing w:val="0"/>
          <w:sz w:val="20"/>
          <w:szCs w:val="22"/>
        </w:rPr>
        <w:t>H</w:t>
      </w:r>
      <w:r w:rsidR="00C636F0" w:rsidRPr="00E3567C">
        <w:rPr>
          <w:rFonts w:asciiTheme="minorHAnsi" w:eastAsiaTheme="minorHAnsi" w:hAnsiTheme="minorHAnsi" w:cstheme="minorBidi"/>
          <w:caps w:val="0"/>
          <w:color w:val="3B3838" w:themeColor="background2" w:themeShade="40"/>
          <w:spacing w:val="0"/>
          <w:sz w:val="20"/>
          <w:szCs w:val="22"/>
        </w:rPr>
        <w:t xml:space="preserve">is role involves </w:t>
      </w:r>
      <w:r w:rsidR="00C636F0">
        <w:rPr>
          <w:rFonts w:asciiTheme="minorHAnsi" w:eastAsiaTheme="minorHAnsi" w:hAnsiTheme="minorHAnsi" w:cstheme="minorBidi"/>
          <w:caps w:val="0"/>
          <w:color w:val="3B3838" w:themeColor="background2" w:themeShade="40"/>
          <w:spacing w:val="0"/>
          <w:sz w:val="20"/>
          <w:szCs w:val="22"/>
        </w:rPr>
        <w:t>managing the QCA’s ongoing regulatory roles in compliance and monitoring of the performance of businesses regulated by the QCA</w:t>
      </w:r>
      <w:r w:rsidR="00C636F0" w:rsidRPr="00E3567C">
        <w:rPr>
          <w:rFonts w:asciiTheme="minorHAnsi" w:eastAsiaTheme="minorHAnsi" w:hAnsiTheme="minorHAnsi" w:cstheme="minorBidi"/>
          <w:caps w:val="0"/>
          <w:color w:val="3B3838" w:themeColor="background2" w:themeShade="40"/>
          <w:spacing w:val="0"/>
          <w:sz w:val="20"/>
          <w:szCs w:val="22"/>
        </w:rPr>
        <w:t>.  </w:t>
      </w:r>
      <w:r w:rsidR="00C636F0">
        <w:rPr>
          <w:rFonts w:asciiTheme="minorHAnsi" w:eastAsiaTheme="minorHAnsi" w:hAnsiTheme="minorHAnsi" w:cstheme="minorBidi"/>
          <w:caps w:val="0"/>
          <w:color w:val="3B3838" w:themeColor="background2" w:themeShade="40"/>
          <w:spacing w:val="0"/>
          <w:sz w:val="20"/>
          <w:szCs w:val="22"/>
        </w:rPr>
        <w:t>Before that</w:t>
      </w:r>
      <w:r w:rsidR="00C636F0" w:rsidRPr="00E3567C">
        <w:rPr>
          <w:rFonts w:asciiTheme="minorHAnsi" w:eastAsiaTheme="minorHAnsi" w:hAnsiTheme="minorHAnsi" w:cstheme="minorBidi"/>
          <w:caps w:val="0"/>
          <w:color w:val="3B3838" w:themeColor="background2" w:themeShade="40"/>
          <w:spacing w:val="0"/>
          <w:sz w:val="20"/>
          <w:szCs w:val="22"/>
        </w:rPr>
        <w:t>, George was extensively involved in the economic oversight of water and local government sectors, as well as rail access regulation in the QCA.  </w:t>
      </w:r>
    </w:p>
    <w:p w14:paraId="51236C9B" w14:textId="77777777" w:rsidR="00C636F0" w:rsidRPr="00E3567C" w:rsidRDefault="00C636F0" w:rsidP="00C636F0">
      <w:pPr>
        <w:pStyle w:val="Heading3-capsandtight"/>
        <w:keepNext w:val="0"/>
        <w:keepLines w:val="0"/>
        <w:spacing w:before="28"/>
        <w:rPr>
          <w:rFonts w:asciiTheme="minorHAnsi" w:eastAsiaTheme="minorHAnsi" w:hAnsiTheme="minorHAnsi" w:cstheme="minorBidi"/>
          <w:caps w:val="0"/>
          <w:color w:val="3B3838" w:themeColor="background2" w:themeShade="40"/>
          <w:spacing w:val="0"/>
          <w:sz w:val="20"/>
          <w:szCs w:val="22"/>
        </w:rPr>
      </w:pPr>
      <w:r w:rsidRPr="00E3567C">
        <w:rPr>
          <w:rFonts w:asciiTheme="minorHAnsi" w:eastAsiaTheme="minorHAnsi" w:hAnsiTheme="minorHAnsi" w:cstheme="minorBidi"/>
          <w:caps w:val="0"/>
          <w:color w:val="3B3838" w:themeColor="background2" w:themeShade="40"/>
          <w:spacing w:val="0"/>
          <w:sz w:val="20"/>
          <w:szCs w:val="22"/>
        </w:rPr>
        <w:t xml:space="preserve">George started his career with the Bureau of Agricultural Economics before moving to Queensland and working on sugar industry policy, </w:t>
      </w:r>
      <w:r w:rsidRPr="00E3567C">
        <w:rPr>
          <w:rFonts w:asciiTheme="minorHAnsi" w:eastAsiaTheme="minorHAnsi" w:hAnsiTheme="minorHAnsi" w:cstheme="minorBidi"/>
          <w:caps w:val="0"/>
          <w:color w:val="3B3838" w:themeColor="background2" w:themeShade="40"/>
          <w:spacing w:val="0"/>
          <w:sz w:val="20"/>
          <w:szCs w:val="22"/>
        </w:rPr>
        <w:t>water sector policy and Queensland’s first review of irrigation water price paths.</w:t>
      </w:r>
    </w:p>
    <w:p w14:paraId="59760995" w14:textId="677D2957" w:rsidR="00C636F0" w:rsidRPr="00731D6C" w:rsidRDefault="00C636F0" w:rsidP="00C636F0">
      <w:pPr>
        <w:pStyle w:val="Heading3-brown"/>
        <w:keepNext w:val="0"/>
        <w:keepLines w:val="0"/>
        <w:rPr>
          <w:b/>
          <w:bCs/>
          <w:sz w:val="20"/>
          <w:szCs w:val="20"/>
        </w:rPr>
      </w:pPr>
      <w:r w:rsidRPr="00731D6C">
        <w:rPr>
          <w:b/>
          <w:bCs/>
          <w:caps w:val="0"/>
          <w:sz w:val="20"/>
          <w:szCs w:val="20"/>
        </w:rPr>
        <w:t xml:space="preserve">Director—Peer Review </w:t>
      </w:r>
    </w:p>
    <w:p w14:paraId="205A7093" w14:textId="77777777" w:rsidR="00C636F0" w:rsidRDefault="00C636F0" w:rsidP="00C636F0">
      <w:pPr>
        <w:pStyle w:val="Heading3-capsandtight"/>
        <w:keepNext w:val="0"/>
        <w:keepLines w:val="0"/>
        <w:spacing w:before="28"/>
      </w:pPr>
      <w:r w:rsidRPr="003D3EB7">
        <w:rPr>
          <w:caps w:val="0"/>
        </w:rPr>
        <w:t>William Copeman</w:t>
      </w:r>
    </w:p>
    <w:p w14:paraId="489D69E7" w14:textId="490E2D7E" w:rsidR="00C636F0" w:rsidRDefault="00C636F0" w:rsidP="00C636F0">
      <w:pPr>
        <w:pStyle w:val="QCABodyText"/>
      </w:pPr>
      <w:r>
        <w:t>William joined the QCA in 2010.</w:t>
      </w:r>
    </w:p>
    <w:p w14:paraId="59F4AD17" w14:textId="77777777" w:rsidR="00C636F0" w:rsidRDefault="00C636F0" w:rsidP="00C636F0">
      <w:pPr>
        <w:pStyle w:val="QCABodyText"/>
      </w:pPr>
      <w:r>
        <w:t xml:space="preserve">William’s diverse experience encompasses roles at Queensland Treasury, Queensland Treasury Corporation and Deloitte Economics. </w:t>
      </w:r>
    </w:p>
    <w:p w14:paraId="1AA133F5" w14:textId="64EFDD31" w:rsidR="00C636F0" w:rsidRDefault="00922364" w:rsidP="00C636F0">
      <w:pPr>
        <w:pStyle w:val="QCABodyText"/>
      </w:pPr>
      <w:r>
        <w:t>H</w:t>
      </w:r>
      <w:r w:rsidR="00C636F0">
        <w:t>is primary role is to provide assurance of the diverse technical analysis undertaken for the QCA. He also oversees product development and technical staff</w:t>
      </w:r>
      <w:r w:rsidR="00FD5383">
        <w:t>-</w:t>
      </w:r>
      <w:r w:rsidR="00C636F0">
        <w:t xml:space="preserve">development initiatives. </w:t>
      </w:r>
    </w:p>
    <w:p w14:paraId="3553075C" w14:textId="77777777" w:rsidR="00C636F0" w:rsidRDefault="00C636F0" w:rsidP="00C636F0">
      <w:pPr>
        <w:pStyle w:val="QCABodyText"/>
      </w:pPr>
      <w:r>
        <w:t xml:space="preserve">He has delivered economic regulation, </w:t>
      </w:r>
      <w:proofErr w:type="gramStart"/>
      <w:r>
        <w:t>analysis</w:t>
      </w:r>
      <w:proofErr w:type="gramEnd"/>
      <w:r>
        <w:t xml:space="preserve"> and policy development in both the public and private sector. </w:t>
      </w:r>
      <w:proofErr w:type="gramStart"/>
      <w:r>
        <w:t>In particular, William</w:t>
      </w:r>
      <w:proofErr w:type="gramEnd"/>
      <w:r>
        <w:t xml:space="preserve"> has worked extensively in the Queensland water industry.</w:t>
      </w:r>
    </w:p>
    <w:p w14:paraId="4D4E2797" w14:textId="77777777" w:rsidR="00C636F0" w:rsidRPr="00731D6C" w:rsidRDefault="00C636F0" w:rsidP="00C636F0">
      <w:pPr>
        <w:pStyle w:val="Heading3-brown"/>
        <w:keepNext w:val="0"/>
        <w:keepLines w:val="0"/>
        <w:rPr>
          <w:b/>
          <w:bCs/>
          <w:sz w:val="20"/>
          <w:szCs w:val="20"/>
        </w:rPr>
      </w:pPr>
      <w:r w:rsidRPr="00731D6C">
        <w:rPr>
          <w:b/>
          <w:bCs/>
          <w:caps w:val="0"/>
          <w:sz w:val="20"/>
          <w:szCs w:val="20"/>
        </w:rPr>
        <w:t>Director—Corporate Services</w:t>
      </w:r>
    </w:p>
    <w:p w14:paraId="4A51BD85" w14:textId="77777777" w:rsidR="00C636F0" w:rsidRPr="00241A24" w:rsidRDefault="00C636F0" w:rsidP="00C636F0">
      <w:pPr>
        <w:pStyle w:val="Heading3-capsandtight"/>
        <w:keepNext w:val="0"/>
        <w:keepLines w:val="0"/>
        <w:spacing w:before="28"/>
        <w:rPr>
          <w:highlight w:val="yellow"/>
        </w:rPr>
      </w:pPr>
      <w:r w:rsidRPr="00CA7A64">
        <w:rPr>
          <w:caps w:val="0"/>
        </w:rPr>
        <w:t>Ray Rapinette</w:t>
      </w:r>
    </w:p>
    <w:p w14:paraId="3CE08636" w14:textId="77777777" w:rsidR="00C636F0" w:rsidRPr="000E06B4" w:rsidRDefault="00C636F0" w:rsidP="00C636F0">
      <w:pPr>
        <w:pStyle w:val="QCABodyText"/>
      </w:pPr>
      <w:r w:rsidRPr="000E06B4">
        <w:t>Ray Rapinette joined the QCA in 2016.</w:t>
      </w:r>
    </w:p>
    <w:p w14:paraId="0C8998DE" w14:textId="77777777" w:rsidR="00C636F0" w:rsidRPr="000E06B4" w:rsidRDefault="00C636F0" w:rsidP="00C636F0">
      <w:pPr>
        <w:pStyle w:val="QCABodyText"/>
      </w:pPr>
      <w:r w:rsidRPr="000E06B4">
        <w:t xml:space="preserve">Ray has many years of experience in senior and executive roles in banking, local </w:t>
      </w:r>
      <w:proofErr w:type="gramStart"/>
      <w:r w:rsidRPr="000E06B4">
        <w:t>government</w:t>
      </w:r>
      <w:proofErr w:type="gramEnd"/>
      <w:r w:rsidRPr="000E06B4">
        <w:t xml:space="preserve"> and Queensland statutory bodies. </w:t>
      </w:r>
    </w:p>
    <w:p w14:paraId="5A773979" w14:textId="48157116" w:rsidR="00200331" w:rsidRPr="0042629B" w:rsidRDefault="00FD4A12" w:rsidP="00C636F0">
      <w:pPr>
        <w:pStyle w:val="QCABodyText"/>
      </w:pPr>
      <w:r w:rsidRPr="000E06B4">
        <w:t>During the year Ray was on leave and temporarily replaced by Sharon Ibardolaza</w:t>
      </w:r>
      <w:r w:rsidR="00C636F0" w:rsidRPr="000E06B4">
        <w:t>.</w:t>
      </w:r>
    </w:p>
    <w:p w14:paraId="2882526D" w14:textId="1C95DC13" w:rsidR="003A4A6A" w:rsidRPr="00241A24" w:rsidRDefault="0096382F" w:rsidP="00241A24">
      <w:pPr>
        <w:pStyle w:val="Heading3-brown"/>
        <w:keepNext w:val="0"/>
        <w:keepLines w:val="0"/>
        <w:rPr>
          <w:b/>
          <w:bCs/>
          <w:sz w:val="20"/>
          <w:szCs w:val="20"/>
        </w:rPr>
      </w:pPr>
      <w:r w:rsidRPr="00241A24">
        <w:rPr>
          <w:b/>
          <w:bCs/>
          <w:sz w:val="20"/>
          <w:szCs w:val="20"/>
        </w:rPr>
        <w:t>D</w:t>
      </w:r>
      <w:r w:rsidR="00200331" w:rsidRPr="00200331">
        <w:rPr>
          <w:b/>
          <w:bCs/>
          <w:caps w:val="0"/>
          <w:sz w:val="20"/>
          <w:szCs w:val="20"/>
        </w:rPr>
        <w:t>irector</w:t>
      </w:r>
      <w:r w:rsidR="00200331">
        <w:rPr>
          <w:b/>
          <w:bCs/>
          <w:caps w:val="0"/>
          <w:sz w:val="20"/>
          <w:szCs w:val="20"/>
        </w:rPr>
        <w:t>—</w:t>
      </w:r>
      <w:r w:rsidRPr="00241A24">
        <w:rPr>
          <w:b/>
          <w:bCs/>
          <w:sz w:val="20"/>
          <w:szCs w:val="20"/>
        </w:rPr>
        <w:t>C</w:t>
      </w:r>
      <w:r w:rsidR="00200331" w:rsidRPr="00200331">
        <w:rPr>
          <w:b/>
          <w:bCs/>
          <w:caps w:val="0"/>
          <w:sz w:val="20"/>
          <w:szCs w:val="20"/>
        </w:rPr>
        <w:t>orporate</w:t>
      </w:r>
      <w:r w:rsidRPr="00241A24">
        <w:rPr>
          <w:b/>
          <w:bCs/>
          <w:sz w:val="20"/>
          <w:szCs w:val="20"/>
        </w:rPr>
        <w:t xml:space="preserve"> S</w:t>
      </w:r>
      <w:r w:rsidR="00200331" w:rsidRPr="00200331">
        <w:rPr>
          <w:b/>
          <w:bCs/>
          <w:caps w:val="0"/>
          <w:sz w:val="20"/>
          <w:szCs w:val="20"/>
        </w:rPr>
        <w:t>ervices</w:t>
      </w:r>
    </w:p>
    <w:p w14:paraId="465F6E69" w14:textId="61BA8453" w:rsidR="0096382F" w:rsidRPr="00241A24" w:rsidRDefault="0096382F" w:rsidP="00241A24">
      <w:pPr>
        <w:pStyle w:val="Heading3-capsandtight"/>
        <w:keepNext w:val="0"/>
        <w:keepLines w:val="0"/>
        <w:spacing w:before="28"/>
        <w:rPr>
          <w:caps w:val="0"/>
        </w:rPr>
      </w:pPr>
      <w:r w:rsidRPr="00241A24">
        <w:t>S</w:t>
      </w:r>
      <w:r w:rsidR="00390FED" w:rsidRPr="00390FED">
        <w:rPr>
          <w:caps w:val="0"/>
        </w:rPr>
        <w:t>haron</w:t>
      </w:r>
      <w:r w:rsidRPr="00241A24">
        <w:t xml:space="preserve"> I</w:t>
      </w:r>
      <w:r w:rsidR="00390FED" w:rsidRPr="00390FED">
        <w:rPr>
          <w:caps w:val="0"/>
        </w:rPr>
        <w:t>bardolaza</w:t>
      </w:r>
    </w:p>
    <w:p w14:paraId="0345A330" w14:textId="0CB2261D" w:rsidR="003A4A6A" w:rsidRDefault="0096382F" w:rsidP="006865C4">
      <w:pPr>
        <w:pStyle w:val="QCABodyText"/>
      </w:pPr>
      <w:r>
        <w:t xml:space="preserve">Sharon joined the QCA in </w:t>
      </w:r>
      <w:r w:rsidR="007346A8">
        <w:t xml:space="preserve">October </w:t>
      </w:r>
      <w:r>
        <w:t>2020.</w:t>
      </w:r>
    </w:p>
    <w:p w14:paraId="6D9FD95A" w14:textId="2BABC6D4" w:rsidR="00724AA2" w:rsidRDefault="00724AA2" w:rsidP="00724AA2">
      <w:pPr>
        <w:pStyle w:val="QCABodyText"/>
      </w:pPr>
      <w:r>
        <w:t xml:space="preserve">Sharon brings with her extensive experience in senior and executive roles in the tourism, </w:t>
      </w:r>
      <w:proofErr w:type="gramStart"/>
      <w:r>
        <w:t>banking</w:t>
      </w:r>
      <w:proofErr w:type="gramEnd"/>
      <w:r>
        <w:t xml:space="preserve"> and local government industries.</w:t>
      </w:r>
    </w:p>
    <w:p w14:paraId="5D57689C" w14:textId="1FB4FFE6" w:rsidR="00724AA2" w:rsidRDefault="00922364" w:rsidP="00724AA2">
      <w:pPr>
        <w:pStyle w:val="QCABodyText"/>
      </w:pPr>
      <w:r>
        <w:t>H</w:t>
      </w:r>
      <w:r w:rsidR="00724AA2">
        <w:t xml:space="preserve">er role </w:t>
      </w:r>
      <w:r>
        <w:t>involves</w:t>
      </w:r>
      <w:r w:rsidR="00724AA2">
        <w:t xml:space="preserve"> managing the provision of a range of corporate services, including governance, financial management, information technology, human </w:t>
      </w:r>
      <w:proofErr w:type="gramStart"/>
      <w:r w:rsidR="00724AA2">
        <w:t>resources</w:t>
      </w:r>
      <w:proofErr w:type="gramEnd"/>
      <w:r w:rsidR="00724AA2">
        <w:t xml:space="preserve"> and corporate administration.</w:t>
      </w:r>
    </w:p>
    <w:p w14:paraId="70E2F814" w14:textId="7DC9DFA3" w:rsidR="0096382F" w:rsidRDefault="00724AA2" w:rsidP="00724AA2">
      <w:pPr>
        <w:pStyle w:val="QCABodyText"/>
      </w:pPr>
      <w:r>
        <w:t>Sharon’s previous roles include business strategy</w:t>
      </w:r>
      <w:r w:rsidR="000E4A26">
        <w:t xml:space="preserve"> development</w:t>
      </w:r>
      <w:r>
        <w:t>, risk management, corporate and operational planning, cultural change</w:t>
      </w:r>
      <w:r w:rsidR="000E4A26">
        <w:t xml:space="preserve"> management</w:t>
      </w:r>
      <w:r>
        <w:t xml:space="preserve"> and leading and managing multi-disciplinary teams to deliver major projects.</w:t>
      </w:r>
    </w:p>
    <w:p w14:paraId="428A6C59" w14:textId="78235772" w:rsidR="003A4A6A" w:rsidRDefault="003A4A6A" w:rsidP="006865C4">
      <w:pPr>
        <w:pStyle w:val="QCABodyText"/>
      </w:pPr>
    </w:p>
    <w:p w14:paraId="7EDE9736" w14:textId="1611F761" w:rsidR="003A4A6A" w:rsidRDefault="003A4A6A" w:rsidP="006865C4">
      <w:pPr>
        <w:pStyle w:val="QCABodyText"/>
      </w:pPr>
    </w:p>
    <w:p w14:paraId="4A4C0F17" w14:textId="27F7FE0F" w:rsidR="003A4A6A" w:rsidRDefault="003A4A6A" w:rsidP="006865C4">
      <w:pPr>
        <w:pStyle w:val="QCABodyText"/>
      </w:pPr>
    </w:p>
    <w:p w14:paraId="6FDA4AAE" w14:textId="0A6A07BD" w:rsidR="003A4A6A" w:rsidRDefault="003A4A6A" w:rsidP="006865C4">
      <w:pPr>
        <w:pStyle w:val="QCABodyText"/>
      </w:pPr>
    </w:p>
    <w:p w14:paraId="28A69A6C" w14:textId="77777777" w:rsidR="003A4A6A" w:rsidRDefault="003A4A6A" w:rsidP="006865C4">
      <w:pPr>
        <w:pStyle w:val="QCABodyText"/>
      </w:pPr>
    </w:p>
    <w:p w14:paraId="0F217521" w14:textId="735E24D0" w:rsidR="00FA2232" w:rsidRDefault="00FA2232" w:rsidP="006865C4">
      <w:pPr>
        <w:pStyle w:val="QCABodyText"/>
      </w:pPr>
    </w:p>
    <w:p w14:paraId="7DB72563" w14:textId="77777777" w:rsidR="00FA2232" w:rsidRDefault="00FA2232" w:rsidP="006865C4">
      <w:pPr>
        <w:pStyle w:val="QCABodyText"/>
        <w:sectPr w:rsidR="00FA2232" w:rsidSect="004058E9">
          <w:pgSz w:w="11907" w:h="16840" w:code="9"/>
          <w:pgMar w:top="1361" w:right="851" w:bottom="1814" w:left="1814" w:header="284" w:footer="170" w:gutter="0"/>
          <w:cols w:num="2" w:space="708"/>
          <w:docGrid w:linePitch="360"/>
        </w:sectPr>
      </w:pPr>
    </w:p>
    <w:p w14:paraId="30E3B10C" w14:textId="77777777" w:rsidR="003A4A6A" w:rsidRDefault="003A4A6A" w:rsidP="007674DC">
      <w:pPr>
        <w:pStyle w:val="QCABodyText"/>
      </w:pPr>
    </w:p>
    <w:p w14:paraId="0FE61CED" w14:textId="489CF998" w:rsidR="00EE67A7" w:rsidRDefault="00EE67A7" w:rsidP="007674DC">
      <w:pPr>
        <w:pStyle w:val="QCABodyText"/>
      </w:pPr>
    </w:p>
    <w:p w14:paraId="49200B91" w14:textId="77777777" w:rsidR="00EE67A7" w:rsidRDefault="00EE67A7" w:rsidP="007674DC">
      <w:pPr>
        <w:pStyle w:val="QCABodyText"/>
        <w:sectPr w:rsidR="00EE67A7" w:rsidSect="004058E9">
          <w:type w:val="continuous"/>
          <w:pgSz w:w="11907" w:h="16840" w:code="9"/>
          <w:pgMar w:top="1361" w:right="851" w:bottom="1814" w:left="1814" w:header="284" w:footer="170" w:gutter="0"/>
          <w:cols w:space="708"/>
          <w:docGrid w:linePitch="360"/>
        </w:sectPr>
      </w:pPr>
    </w:p>
    <w:p w14:paraId="298734EC" w14:textId="4C0112C3" w:rsidR="006156F9" w:rsidRPr="00F557CB" w:rsidRDefault="006156F9" w:rsidP="00CA7A64">
      <w:pPr>
        <w:pStyle w:val="Heading3-nospaceabove"/>
        <w:rPr>
          <w:b/>
          <w:bCs/>
        </w:rPr>
      </w:pPr>
      <w:r w:rsidRPr="00F557CB">
        <w:rPr>
          <w:b/>
          <w:bCs/>
        </w:rPr>
        <w:lastRenderedPageBreak/>
        <w:t xml:space="preserve">Organisational chart as </w:t>
      </w:r>
      <w:proofErr w:type="gramStart"/>
      <w:r w:rsidRPr="00F557CB">
        <w:rPr>
          <w:b/>
          <w:bCs/>
        </w:rPr>
        <w:t>at</w:t>
      </w:r>
      <w:proofErr w:type="gramEnd"/>
      <w:r w:rsidRPr="00F557CB">
        <w:rPr>
          <w:b/>
          <w:bCs/>
        </w:rPr>
        <w:t xml:space="preserve"> 30 June </w:t>
      </w:r>
      <w:r w:rsidR="001E73F3" w:rsidRPr="00F557CB">
        <w:rPr>
          <w:b/>
          <w:bCs/>
        </w:rPr>
        <w:t>202</w:t>
      </w:r>
      <w:r w:rsidR="0096382F" w:rsidRPr="00F557CB">
        <w:rPr>
          <w:b/>
          <w:bCs/>
        </w:rPr>
        <w:t>1</w:t>
      </w:r>
    </w:p>
    <w:p w14:paraId="5A2D08F1" w14:textId="2A6A3475" w:rsidR="007156CD" w:rsidRDefault="007156CD" w:rsidP="007156CD">
      <w:pPr>
        <w:pStyle w:val="QCABodyText"/>
      </w:pPr>
    </w:p>
    <w:p w14:paraId="476B484A" w14:textId="3B6674E4" w:rsidR="007156CD" w:rsidRDefault="007156CD" w:rsidP="007156CD">
      <w:pPr>
        <w:pStyle w:val="QCABodyText"/>
      </w:pPr>
      <w:r>
        <w:rPr>
          <w:noProof/>
        </w:rPr>
        <w:drawing>
          <wp:inline distT="0" distB="0" distL="0" distR="0" wp14:anchorId="649F2D50" wp14:editId="5BC8C032">
            <wp:extent cx="5850255" cy="3900170"/>
            <wp:effectExtent l="0" t="0" r="17145" b="0"/>
            <wp:docPr id="1" name="Diagram 1">
              <a:extLst xmlns:a="http://schemas.openxmlformats.org/drawingml/2006/main">
                <a:ext uri="{FF2B5EF4-FFF2-40B4-BE49-F238E27FC236}">
                  <a16:creationId xmlns:a16="http://schemas.microsoft.com/office/drawing/2014/main" id="{041CAE5A-1FD1-48F1-AD66-3706EE3072E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2CC8121" w14:textId="7A8280AA" w:rsidR="007156CD" w:rsidRDefault="007156CD" w:rsidP="007156CD">
      <w:pPr>
        <w:pStyle w:val="QCABodyText"/>
      </w:pPr>
    </w:p>
    <w:p w14:paraId="7B8EE401" w14:textId="33CE0103" w:rsidR="007156CD" w:rsidRDefault="007156CD" w:rsidP="007156CD">
      <w:pPr>
        <w:pStyle w:val="QCABodyText"/>
      </w:pPr>
    </w:p>
    <w:p w14:paraId="0109934E" w14:textId="77777777" w:rsidR="007156CD" w:rsidRPr="007156CD" w:rsidRDefault="007156CD" w:rsidP="008024ED">
      <w:pPr>
        <w:pStyle w:val="QCABodyText"/>
      </w:pPr>
    </w:p>
    <w:p w14:paraId="430605B2" w14:textId="5720402D" w:rsidR="006156F9" w:rsidRDefault="006156F9" w:rsidP="00F569EF">
      <w:pPr>
        <w:pStyle w:val="QCABodyText"/>
        <w:ind w:left="284"/>
        <w:rPr>
          <w:lang w:eastAsia="en-AU"/>
        </w:rPr>
      </w:pPr>
    </w:p>
    <w:p w14:paraId="669811DD" w14:textId="008F6178" w:rsidR="00363266" w:rsidRDefault="00363266" w:rsidP="00E177A1">
      <w:pPr>
        <w:pStyle w:val="Heading3-nospaceabove"/>
      </w:pPr>
    </w:p>
    <w:p w14:paraId="1C7D18A2" w14:textId="22B18655" w:rsidR="005E7D52" w:rsidRDefault="00700D10" w:rsidP="00E177A1">
      <w:pPr>
        <w:pStyle w:val="Heading3-nospaceabove"/>
      </w:pPr>
      <w:r w:rsidRPr="00731D6C">
        <w:t xml:space="preserve">Government bodies </w:t>
      </w:r>
      <w:r w:rsidR="0096382F">
        <w:t>2020–21</w:t>
      </w:r>
    </w:p>
    <w:tbl>
      <w:tblPr>
        <w:tblStyle w:val="TableGrid"/>
        <w:tblW w:w="0" w:type="auto"/>
        <w:tblLook w:val="04A0" w:firstRow="1" w:lastRow="0" w:firstColumn="1" w:lastColumn="0" w:noHBand="0" w:noVBand="1"/>
      </w:tblPr>
      <w:tblGrid>
        <w:gridCol w:w="1649"/>
        <w:gridCol w:w="1515"/>
        <w:gridCol w:w="1639"/>
        <w:gridCol w:w="1466"/>
        <w:gridCol w:w="1469"/>
        <w:gridCol w:w="1465"/>
      </w:tblGrid>
      <w:tr w:rsidR="00700D10" w:rsidRPr="00700D10" w14:paraId="632992B1" w14:textId="77777777" w:rsidTr="00142E01">
        <w:tc>
          <w:tcPr>
            <w:tcW w:w="9203" w:type="dxa"/>
            <w:gridSpan w:val="6"/>
            <w:tcBorders>
              <w:top w:val="single" w:sz="4" w:space="0" w:color="auto"/>
              <w:left w:val="single" w:sz="4" w:space="0" w:color="auto"/>
              <w:bottom w:val="single" w:sz="4" w:space="0" w:color="auto"/>
              <w:right w:val="single" w:sz="4" w:space="0" w:color="auto"/>
            </w:tcBorders>
            <w:hideMark/>
          </w:tcPr>
          <w:p w14:paraId="3D9DA0AB" w14:textId="77777777" w:rsidR="00700D10" w:rsidRPr="002F6405" w:rsidRDefault="00700D10" w:rsidP="0084122A">
            <w:pPr>
              <w:keepNext/>
              <w:spacing w:before="0" w:after="160" w:line="259" w:lineRule="auto"/>
              <w:rPr>
                <w:rFonts w:ascii="Arial" w:hAnsi="Arial" w:cs="Arial"/>
                <w:sz w:val="16"/>
                <w:szCs w:val="16"/>
              </w:rPr>
            </w:pPr>
            <w:r w:rsidRPr="00DE2638">
              <w:rPr>
                <w:rFonts w:ascii="Arial" w:hAnsi="Arial" w:cs="Arial"/>
                <w:b/>
                <w:sz w:val="16"/>
                <w:szCs w:val="16"/>
              </w:rPr>
              <w:t>Name of Government body:</w:t>
            </w:r>
            <w:r w:rsidRPr="00DE2638">
              <w:rPr>
                <w:rFonts w:ascii="Arial" w:hAnsi="Arial" w:cs="Arial"/>
                <w:sz w:val="16"/>
                <w:szCs w:val="16"/>
              </w:rPr>
              <w:t xml:space="preserve"> Queensland Competition Authority Board</w:t>
            </w:r>
          </w:p>
        </w:tc>
      </w:tr>
      <w:tr w:rsidR="00700D10" w:rsidRPr="00700D10" w14:paraId="741D09BC"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4CED7095"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Act or instrument</w:t>
            </w:r>
          </w:p>
        </w:tc>
        <w:tc>
          <w:tcPr>
            <w:tcW w:w="7554" w:type="dxa"/>
            <w:gridSpan w:val="5"/>
            <w:tcBorders>
              <w:top w:val="single" w:sz="4" w:space="0" w:color="auto"/>
              <w:left w:val="single" w:sz="4" w:space="0" w:color="auto"/>
              <w:bottom w:val="single" w:sz="4" w:space="0" w:color="auto"/>
              <w:right w:val="single" w:sz="4" w:space="0" w:color="auto"/>
            </w:tcBorders>
            <w:hideMark/>
          </w:tcPr>
          <w:p w14:paraId="4C04EDA1" w14:textId="77777777" w:rsidR="00700D10" w:rsidRPr="00DE2638" w:rsidRDefault="00700D10" w:rsidP="0084122A">
            <w:pPr>
              <w:keepNext/>
              <w:spacing w:before="0" w:after="160" w:line="259" w:lineRule="auto"/>
              <w:rPr>
                <w:rFonts w:ascii="Arial" w:hAnsi="Arial" w:cs="Arial"/>
                <w:i/>
                <w:sz w:val="16"/>
                <w:szCs w:val="16"/>
              </w:rPr>
            </w:pPr>
            <w:r w:rsidRPr="002F6405">
              <w:rPr>
                <w:rFonts w:ascii="Arial" w:hAnsi="Arial" w:cs="Arial"/>
                <w:i/>
                <w:sz w:val="16"/>
                <w:szCs w:val="16"/>
              </w:rPr>
              <w:t>Queensland Competition Authority Act 1997</w:t>
            </w:r>
          </w:p>
        </w:tc>
      </w:tr>
      <w:tr w:rsidR="00700D10" w:rsidRPr="00700D10" w14:paraId="1F7906D4"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190B5FBE"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Functions</w:t>
            </w:r>
          </w:p>
        </w:tc>
        <w:tc>
          <w:tcPr>
            <w:tcW w:w="7554" w:type="dxa"/>
            <w:gridSpan w:val="5"/>
            <w:tcBorders>
              <w:top w:val="single" w:sz="4" w:space="0" w:color="auto"/>
              <w:left w:val="single" w:sz="4" w:space="0" w:color="auto"/>
              <w:bottom w:val="single" w:sz="4" w:space="0" w:color="auto"/>
              <w:right w:val="single" w:sz="4" w:space="0" w:color="auto"/>
            </w:tcBorders>
            <w:hideMark/>
          </w:tcPr>
          <w:p w14:paraId="6464CBF8" w14:textId="77777777" w:rsidR="00700D10" w:rsidRPr="00DE2638" w:rsidRDefault="00700D10" w:rsidP="0084122A">
            <w:pPr>
              <w:keepNext/>
              <w:spacing w:before="0" w:after="0" w:line="240" w:lineRule="auto"/>
              <w:rPr>
                <w:rFonts w:ascii="Arial" w:hAnsi="Arial" w:cs="Arial"/>
                <w:sz w:val="16"/>
                <w:szCs w:val="16"/>
              </w:rPr>
            </w:pPr>
            <w:r w:rsidRPr="00DE2638">
              <w:rPr>
                <w:rFonts w:ascii="Arial" w:hAnsi="Arial" w:cs="Arial"/>
                <w:sz w:val="16"/>
                <w:szCs w:val="16"/>
              </w:rPr>
              <w:t xml:space="preserve">Our primary role is to ensure monopoly businesses operating in Queensland, particularly in the provision of key infrastructure, do not abuse their market power through unfair pricing or restrictive access arrangements.  </w:t>
            </w:r>
          </w:p>
          <w:p w14:paraId="10036649" w14:textId="77777777" w:rsidR="00FD64B4" w:rsidRDefault="00700D10" w:rsidP="0050461D">
            <w:pPr>
              <w:keepNext/>
              <w:spacing w:before="0" w:after="0" w:line="259" w:lineRule="auto"/>
              <w:rPr>
                <w:rFonts w:ascii="Arial" w:hAnsi="Arial" w:cs="Arial"/>
                <w:sz w:val="16"/>
                <w:szCs w:val="16"/>
              </w:rPr>
            </w:pPr>
            <w:r w:rsidRPr="00DE2638">
              <w:rPr>
                <w:rFonts w:ascii="Arial" w:hAnsi="Arial" w:cs="Arial"/>
                <w:sz w:val="16"/>
                <w:szCs w:val="16"/>
              </w:rPr>
              <w:t>We achieve this through investigating and monitoring pricing practices of certain monopoly businesses and regulating third party access to essential infrastructure such as railways and port channels.</w:t>
            </w:r>
            <w:r w:rsidR="00FD64B4">
              <w:rPr>
                <w:rFonts w:ascii="Arial" w:hAnsi="Arial" w:cs="Arial"/>
                <w:sz w:val="16"/>
                <w:szCs w:val="16"/>
              </w:rPr>
              <w:t xml:space="preserve"> </w:t>
            </w:r>
          </w:p>
          <w:p w14:paraId="09F1E208" w14:textId="142CA6B0" w:rsidR="00FD64B4" w:rsidRPr="002F6405" w:rsidRDefault="00FD64B4" w:rsidP="00FD64B4">
            <w:pPr>
              <w:keepNext/>
              <w:spacing w:before="0" w:after="160" w:line="259" w:lineRule="auto"/>
              <w:rPr>
                <w:rFonts w:ascii="Arial" w:hAnsi="Arial" w:cs="Arial"/>
                <w:sz w:val="16"/>
                <w:szCs w:val="16"/>
                <w:highlight w:val="yellow"/>
              </w:rPr>
            </w:pPr>
            <w:r w:rsidRPr="0050461D">
              <w:rPr>
                <w:rFonts w:ascii="Arial" w:hAnsi="Arial" w:cs="Arial"/>
                <w:sz w:val="16"/>
                <w:szCs w:val="16"/>
              </w:rPr>
              <w:t>As of 2 June 2021, we have also assumed responsibility for dealing with competitive neutrality matters.</w:t>
            </w:r>
          </w:p>
        </w:tc>
      </w:tr>
      <w:tr w:rsidR="00700D10" w:rsidRPr="00700D10" w14:paraId="003FBEF5"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0107B628"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Achievements</w:t>
            </w:r>
          </w:p>
        </w:tc>
        <w:tc>
          <w:tcPr>
            <w:tcW w:w="7554" w:type="dxa"/>
            <w:gridSpan w:val="5"/>
            <w:tcBorders>
              <w:top w:val="single" w:sz="4" w:space="0" w:color="auto"/>
              <w:left w:val="single" w:sz="4" w:space="0" w:color="auto"/>
              <w:bottom w:val="single" w:sz="4" w:space="0" w:color="auto"/>
              <w:right w:val="single" w:sz="4" w:space="0" w:color="auto"/>
            </w:tcBorders>
            <w:hideMark/>
          </w:tcPr>
          <w:p w14:paraId="1FE3C66B" w14:textId="30FE6D89" w:rsidR="00700D10" w:rsidRPr="002F6405" w:rsidRDefault="00700D10" w:rsidP="00D77EA7">
            <w:pPr>
              <w:keepNext/>
              <w:spacing w:before="0" w:after="160" w:line="259" w:lineRule="auto"/>
              <w:rPr>
                <w:rFonts w:ascii="Arial" w:hAnsi="Arial" w:cs="Arial"/>
                <w:sz w:val="16"/>
                <w:szCs w:val="16"/>
                <w:highlight w:val="yellow"/>
              </w:rPr>
            </w:pPr>
            <w:r w:rsidRPr="00DE2638">
              <w:rPr>
                <w:rFonts w:ascii="Arial" w:hAnsi="Arial" w:cs="Arial"/>
                <w:sz w:val="16"/>
                <w:szCs w:val="16"/>
              </w:rPr>
              <w:t xml:space="preserve">Refer to pages </w:t>
            </w:r>
            <w:r w:rsidR="00562677" w:rsidRPr="00CA7A64">
              <w:rPr>
                <w:rFonts w:ascii="Arial" w:hAnsi="Arial" w:cs="Arial"/>
                <w:sz w:val="16"/>
                <w:szCs w:val="16"/>
              </w:rPr>
              <w:t>1</w:t>
            </w:r>
            <w:r w:rsidR="00D9482B" w:rsidRPr="00CA7A64">
              <w:rPr>
                <w:rFonts w:ascii="Arial" w:hAnsi="Arial" w:cs="Arial"/>
                <w:sz w:val="16"/>
                <w:szCs w:val="16"/>
              </w:rPr>
              <w:t>2</w:t>
            </w:r>
            <w:r w:rsidR="00562677" w:rsidRPr="00CA7A64">
              <w:rPr>
                <w:rFonts w:ascii="Arial" w:hAnsi="Arial" w:cs="Arial"/>
                <w:sz w:val="16"/>
                <w:szCs w:val="16"/>
              </w:rPr>
              <w:t>–</w:t>
            </w:r>
            <w:r w:rsidR="007B7480" w:rsidRPr="00CA7A64">
              <w:rPr>
                <w:rFonts w:ascii="Arial" w:hAnsi="Arial" w:cs="Arial"/>
                <w:sz w:val="16"/>
                <w:szCs w:val="16"/>
              </w:rPr>
              <w:t>35</w:t>
            </w:r>
            <w:r w:rsidR="007B7480" w:rsidRPr="00DE2638">
              <w:rPr>
                <w:rFonts w:ascii="Arial" w:hAnsi="Arial" w:cs="Arial"/>
                <w:sz w:val="16"/>
                <w:szCs w:val="16"/>
              </w:rPr>
              <w:t xml:space="preserve"> </w:t>
            </w:r>
            <w:r w:rsidRPr="00DE2638">
              <w:rPr>
                <w:rFonts w:ascii="Arial" w:hAnsi="Arial" w:cs="Arial"/>
                <w:sz w:val="16"/>
                <w:szCs w:val="16"/>
              </w:rPr>
              <w:t xml:space="preserve">of this </w:t>
            </w:r>
            <w:r w:rsidR="001F6747" w:rsidRPr="00DE2638">
              <w:rPr>
                <w:rFonts w:ascii="Arial" w:hAnsi="Arial" w:cs="Arial"/>
                <w:sz w:val="16"/>
                <w:szCs w:val="16"/>
              </w:rPr>
              <w:t>an</w:t>
            </w:r>
            <w:r w:rsidRPr="00DE2638">
              <w:rPr>
                <w:rFonts w:ascii="Arial" w:hAnsi="Arial" w:cs="Arial"/>
                <w:sz w:val="16"/>
                <w:szCs w:val="16"/>
              </w:rPr>
              <w:t xml:space="preserve">nual </w:t>
            </w:r>
            <w:r w:rsidR="001F6747" w:rsidRPr="00DE2638">
              <w:rPr>
                <w:rFonts w:ascii="Arial" w:hAnsi="Arial" w:cs="Arial"/>
                <w:sz w:val="16"/>
                <w:szCs w:val="16"/>
              </w:rPr>
              <w:t>r</w:t>
            </w:r>
            <w:r w:rsidRPr="00DE2638">
              <w:rPr>
                <w:rFonts w:ascii="Arial" w:hAnsi="Arial" w:cs="Arial"/>
                <w:sz w:val="16"/>
                <w:szCs w:val="16"/>
              </w:rPr>
              <w:t>eport</w:t>
            </w:r>
            <w:r w:rsidR="00A96F30">
              <w:rPr>
                <w:rFonts w:ascii="Arial" w:hAnsi="Arial" w:cs="Arial"/>
                <w:sz w:val="16"/>
                <w:szCs w:val="16"/>
              </w:rPr>
              <w:t>.</w:t>
            </w:r>
          </w:p>
        </w:tc>
      </w:tr>
      <w:tr w:rsidR="00700D10" w:rsidRPr="00700D10" w14:paraId="520ECBB4"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288D71F1"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Financial reporting</w:t>
            </w:r>
          </w:p>
        </w:tc>
        <w:tc>
          <w:tcPr>
            <w:tcW w:w="7554" w:type="dxa"/>
            <w:gridSpan w:val="5"/>
            <w:tcBorders>
              <w:top w:val="single" w:sz="4" w:space="0" w:color="auto"/>
              <w:left w:val="single" w:sz="4" w:space="0" w:color="auto"/>
              <w:bottom w:val="single" w:sz="4" w:space="0" w:color="auto"/>
              <w:right w:val="single" w:sz="4" w:space="0" w:color="auto"/>
            </w:tcBorders>
            <w:hideMark/>
          </w:tcPr>
          <w:p w14:paraId="5558FDD6" w14:textId="5BF3B10F" w:rsidR="00700D10" w:rsidRPr="002F6405" w:rsidRDefault="00700D10" w:rsidP="0084122A">
            <w:pPr>
              <w:keepNext/>
              <w:spacing w:before="0" w:after="160" w:line="259" w:lineRule="auto"/>
              <w:rPr>
                <w:rFonts w:ascii="Arial" w:hAnsi="Arial" w:cs="Arial"/>
                <w:sz w:val="16"/>
                <w:szCs w:val="16"/>
                <w:highlight w:val="yellow"/>
              </w:rPr>
            </w:pPr>
            <w:r w:rsidRPr="00DE2638">
              <w:rPr>
                <w:rFonts w:ascii="Arial" w:hAnsi="Arial" w:cs="Arial"/>
                <w:sz w:val="16"/>
                <w:szCs w:val="16"/>
              </w:rPr>
              <w:t xml:space="preserve">Financial transactions of the QCA are accounted for annually in </w:t>
            </w:r>
            <w:r w:rsidR="00A96F30">
              <w:rPr>
                <w:rFonts w:ascii="Arial" w:hAnsi="Arial" w:cs="Arial"/>
                <w:sz w:val="16"/>
                <w:szCs w:val="16"/>
              </w:rPr>
              <w:t>the</w:t>
            </w:r>
            <w:r w:rsidR="00A96F30" w:rsidRPr="00DE2638">
              <w:rPr>
                <w:rFonts w:ascii="Arial" w:hAnsi="Arial" w:cs="Arial"/>
                <w:sz w:val="16"/>
                <w:szCs w:val="16"/>
              </w:rPr>
              <w:t xml:space="preserve"> </w:t>
            </w:r>
            <w:r w:rsidRPr="00DE2638">
              <w:rPr>
                <w:rFonts w:ascii="Arial" w:hAnsi="Arial" w:cs="Arial"/>
                <w:sz w:val="16"/>
                <w:szCs w:val="16"/>
              </w:rPr>
              <w:t>audited Financial Statements</w:t>
            </w:r>
          </w:p>
        </w:tc>
      </w:tr>
      <w:tr w:rsidR="00700D10" w:rsidRPr="00700D10" w14:paraId="2EFFE2C1" w14:textId="77777777" w:rsidTr="00142E01">
        <w:tc>
          <w:tcPr>
            <w:tcW w:w="9203" w:type="dxa"/>
            <w:gridSpan w:val="6"/>
            <w:tcBorders>
              <w:top w:val="single" w:sz="4" w:space="0" w:color="auto"/>
              <w:left w:val="single" w:sz="4" w:space="0" w:color="auto"/>
              <w:bottom w:val="single" w:sz="4" w:space="0" w:color="auto"/>
              <w:right w:val="single" w:sz="4" w:space="0" w:color="auto"/>
            </w:tcBorders>
            <w:hideMark/>
          </w:tcPr>
          <w:p w14:paraId="1CA9892A" w14:textId="6BE8B1B6" w:rsidR="00700D10" w:rsidRPr="002F6405" w:rsidRDefault="00700D10" w:rsidP="0084122A">
            <w:pPr>
              <w:keepNext/>
              <w:spacing w:before="0" w:after="160" w:line="259" w:lineRule="auto"/>
              <w:rPr>
                <w:rFonts w:ascii="Arial" w:hAnsi="Arial" w:cs="Arial"/>
                <w:sz w:val="16"/>
                <w:szCs w:val="16"/>
              </w:rPr>
            </w:pPr>
            <w:r w:rsidRPr="002F6405">
              <w:rPr>
                <w:rFonts w:ascii="Arial" w:hAnsi="Arial" w:cs="Arial"/>
                <w:b/>
                <w:sz w:val="16"/>
                <w:szCs w:val="16"/>
              </w:rPr>
              <w:t>Remuneration</w:t>
            </w:r>
            <w:r w:rsidRPr="002F6405">
              <w:rPr>
                <w:rFonts w:ascii="Arial" w:hAnsi="Arial" w:cs="Arial"/>
                <w:sz w:val="16"/>
                <w:szCs w:val="16"/>
              </w:rPr>
              <w:t xml:space="preserve"> </w:t>
            </w:r>
          </w:p>
        </w:tc>
      </w:tr>
      <w:tr w:rsidR="00700D10" w:rsidRPr="00700D10" w14:paraId="7FABE5FD" w14:textId="77777777" w:rsidTr="00142E01">
        <w:trPr>
          <w:trHeight w:val="975"/>
        </w:trPr>
        <w:tc>
          <w:tcPr>
            <w:tcW w:w="1649" w:type="dxa"/>
            <w:tcBorders>
              <w:top w:val="single" w:sz="4" w:space="0" w:color="auto"/>
              <w:left w:val="single" w:sz="4" w:space="0" w:color="auto"/>
              <w:bottom w:val="single" w:sz="4" w:space="0" w:color="auto"/>
              <w:right w:val="single" w:sz="4" w:space="0" w:color="auto"/>
            </w:tcBorders>
            <w:hideMark/>
          </w:tcPr>
          <w:p w14:paraId="29AADF6E"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Position</w:t>
            </w:r>
          </w:p>
        </w:tc>
        <w:tc>
          <w:tcPr>
            <w:tcW w:w="1515" w:type="dxa"/>
            <w:tcBorders>
              <w:top w:val="single" w:sz="4" w:space="0" w:color="auto"/>
              <w:left w:val="single" w:sz="4" w:space="0" w:color="auto"/>
              <w:bottom w:val="single" w:sz="4" w:space="0" w:color="auto"/>
              <w:right w:val="single" w:sz="4" w:space="0" w:color="auto"/>
            </w:tcBorders>
            <w:hideMark/>
          </w:tcPr>
          <w:p w14:paraId="1B4A4638"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Name</w:t>
            </w:r>
          </w:p>
        </w:tc>
        <w:tc>
          <w:tcPr>
            <w:tcW w:w="1639" w:type="dxa"/>
            <w:tcBorders>
              <w:top w:val="single" w:sz="4" w:space="0" w:color="auto"/>
              <w:left w:val="single" w:sz="4" w:space="0" w:color="auto"/>
              <w:bottom w:val="single" w:sz="4" w:space="0" w:color="auto"/>
              <w:right w:val="single" w:sz="4" w:space="0" w:color="auto"/>
            </w:tcBorders>
            <w:hideMark/>
          </w:tcPr>
          <w:p w14:paraId="0B74A239"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Meetings/sessions attendance</w:t>
            </w:r>
          </w:p>
        </w:tc>
        <w:tc>
          <w:tcPr>
            <w:tcW w:w="1466" w:type="dxa"/>
            <w:tcBorders>
              <w:top w:val="single" w:sz="4" w:space="0" w:color="auto"/>
              <w:left w:val="single" w:sz="4" w:space="0" w:color="auto"/>
              <w:bottom w:val="single" w:sz="4" w:space="0" w:color="auto"/>
              <w:right w:val="single" w:sz="4" w:space="0" w:color="auto"/>
            </w:tcBorders>
            <w:hideMark/>
          </w:tcPr>
          <w:p w14:paraId="148009F3" w14:textId="77777777" w:rsidR="00700D10" w:rsidRPr="00C4641A" w:rsidRDefault="00700D10" w:rsidP="0084122A">
            <w:pPr>
              <w:keepNext/>
              <w:spacing w:before="0" w:after="160" w:line="259" w:lineRule="auto"/>
              <w:rPr>
                <w:rFonts w:ascii="Arial" w:hAnsi="Arial" w:cs="Arial"/>
                <w:b/>
                <w:sz w:val="16"/>
                <w:szCs w:val="16"/>
              </w:rPr>
            </w:pPr>
            <w:r w:rsidRPr="00C4641A">
              <w:rPr>
                <w:rFonts w:ascii="Arial" w:hAnsi="Arial" w:cs="Arial"/>
                <w:b/>
                <w:sz w:val="16"/>
                <w:szCs w:val="16"/>
              </w:rPr>
              <w:t xml:space="preserve">Approved annual, </w:t>
            </w:r>
            <w:proofErr w:type="gramStart"/>
            <w:r w:rsidRPr="00C4641A">
              <w:rPr>
                <w:rFonts w:ascii="Arial" w:hAnsi="Arial" w:cs="Arial"/>
                <w:b/>
                <w:sz w:val="16"/>
                <w:szCs w:val="16"/>
              </w:rPr>
              <w:t>sessional</w:t>
            </w:r>
            <w:proofErr w:type="gramEnd"/>
            <w:r w:rsidRPr="00C4641A">
              <w:rPr>
                <w:rFonts w:ascii="Arial" w:hAnsi="Arial" w:cs="Arial"/>
                <w:b/>
                <w:sz w:val="16"/>
                <w:szCs w:val="16"/>
              </w:rPr>
              <w:t xml:space="preserve"> or daily fee </w:t>
            </w:r>
          </w:p>
        </w:tc>
        <w:tc>
          <w:tcPr>
            <w:tcW w:w="1469" w:type="dxa"/>
            <w:tcBorders>
              <w:top w:val="single" w:sz="4" w:space="0" w:color="auto"/>
              <w:left w:val="single" w:sz="4" w:space="0" w:color="auto"/>
              <w:bottom w:val="single" w:sz="4" w:space="0" w:color="auto"/>
              <w:right w:val="single" w:sz="4" w:space="0" w:color="auto"/>
            </w:tcBorders>
            <w:hideMark/>
          </w:tcPr>
          <w:p w14:paraId="0F0A6D52"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Approved sub-committee fees if applicable</w:t>
            </w:r>
          </w:p>
        </w:tc>
        <w:tc>
          <w:tcPr>
            <w:tcW w:w="1465" w:type="dxa"/>
            <w:tcBorders>
              <w:top w:val="single" w:sz="4" w:space="0" w:color="auto"/>
              <w:left w:val="single" w:sz="4" w:space="0" w:color="auto"/>
              <w:bottom w:val="single" w:sz="4" w:space="0" w:color="auto"/>
              <w:right w:val="single" w:sz="4" w:space="0" w:color="auto"/>
            </w:tcBorders>
            <w:hideMark/>
          </w:tcPr>
          <w:p w14:paraId="1E10A58D"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 xml:space="preserve">Actual fees received </w:t>
            </w:r>
          </w:p>
        </w:tc>
      </w:tr>
      <w:tr w:rsidR="00700D10" w:rsidRPr="00700D10" w14:paraId="60FFBCF6"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00A31DF7" w14:textId="17EB2A6C" w:rsidR="00700D10" w:rsidRPr="002F6405" w:rsidRDefault="00700D10" w:rsidP="00363266">
            <w:pPr>
              <w:keepNext/>
              <w:spacing w:before="0" w:after="160" w:line="259" w:lineRule="auto"/>
              <w:rPr>
                <w:rFonts w:ascii="Arial" w:hAnsi="Arial" w:cs="Arial"/>
                <w:sz w:val="16"/>
                <w:szCs w:val="16"/>
              </w:rPr>
            </w:pPr>
            <w:r w:rsidRPr="00DE2638">
              <w:rPr>
                <w:rFonts w:ascii="Arial" w:hAnsi="Arial" w:cs="Arial"/>
                <w:sz w:val="16"/>
                <w:szCs w:val="16"/>
              </w:rPr>
              <w:t>Chair</w:t>
            </w:r>
            <w:r w:rsidR="00001403">
              <w:rPr>
                <w:rFonts w:ascii="Arial" w:hAnsi="Arial" w:cs="Arial"/>
                <w:sz w:val="16"/>
                <w:szCs w:val="16"/>
              </w:rPr>
              <w:t xml:space="preserve"> </w:t>
            </w:r>
          </w:p>
        </w:tc>
        <w:tc>
          <w:tcPr>
            <w:tcW w:w="1515" w:type="dxa"/>
            <w:tcBorders>
              <w:top w:val="single" w:sz="4" w:space="0" w:color="auto"/>
              <w:left w:val="single" w:sz="4" w:space="0" w:color="auto"/>
              <w:bottom w:val="single" w:sz="4" w:space="0" w:color="auto"/>
              <w:right w:val="single" w:sz="4" w:space="0" w:color="auto"/>
            </w:tcBorders>
            <w:hideMark/>
          </w:tcPr>
          <w:p w14:paraId="0CC1345F" w14:textId="3DFFF5EB" w:rsidR="00700D10" w:rsidRPr="002F6405" w:rsidRDefault="00363266" w:rsidP="0084122A">
            <w:pPr>
              <w:keepNext/>
              <w:spacing w:before="0" w:after="160" w:line="259" w:lineRule="auto"/>
              <w:rPr>
                <w:rFonts w:ascii="Arial" w:hAnsi="Arial" w:cs="Arial"/>
                <w:sz w:val="16"/>
                <w:szCs w:val="16"/>
              </w:rPr>
            </w:pPr>
            <w:r>
              <w:rPr>
                <w:rFonts w:ascii="Arial" w:hAnsi="Arial" w:cs="Arial"/>
                <w:sz w:val="16"/>
                <w:szCs w:val="16"/>
              </w:rPr>
              <w:t>Professor Flavio Menezes</w:t>
            </w:r>
          </w:p>
        </w:tc>
        <w:tc>
          <w:tcPr>
            <w:tcW w:w="1639" w:type="dxa"/>
            <w:tcBorders>
              <w:top w:val="single" w:sz="4" w:space="0" w:color="auto"/>
              <w:left w:val="single" w:sz="4" w:space="0" w:color="auto"/>
              <w:bottom w:val="single" w:sz="4" w:space="0" w:color="auto"/>
              <w:right w:val="single" w:sz="4" w:space="0" w:color="auto"/>
            </w:tcBorders>
            <w:hideMark/>
          </w:tcPr>
          <w:p w14:paraId="6B02D75C" w14:textId="7953E5AE" w:rsidR="00700D10" w:rsidRPr="00EB7BA8" w:rsidRDefault="00D50D70" w:rsidP="000E7E61">
            <w:pPr>
              <w:keepNext/>
              <w:spacing w:before="0" w:after="160" w:line="259" w:lineRule="auto"/>
              <w:jc w:val="center"/>
              <w:rPr>
                <w:rFonts w:ascii="Arial" w:hAnsi="Arial" w:cs="Arial"/>
                <w:sz w:val="16"/>
                <w:szCs w:val="16"/>
              </w:rPr>
            </w:pPr>
            <w:r>
              <w:rPr>
                <w:rFonts w:ascii="Arial" w:hAnsi="Arial" w:cs="Arial"/>
                <w:sz w:val="16"/>
                <w:szCs w:val="16"/>
              </w:rPr>
              <w:t>25</w:t>
            </w:r>
          </w:p>
        </w:tc>
        <w:tc>
          <w:tcPr>
            <w:tcW w:w="1466" w:type="dxa"/>
            <w:tcBorders>
              <w:top w:val="single" w:sz="4" w:space="0" w:color="auto"/>
              <w:left w:val="single" w:sz="4" w:space="0" w:color="auto"/>
              <w:bottom w:val="single" w:sz="4" w:space="0" w:color="auto"/>
              <w:right w:val="single" w:sz="4" w:space="0" w:color="auto"/>
            </w:tcBorders>
            <w:hideMark/>
          </w:tcPr>
          <w:p w14:paraId="670CC843" w14:textId="02F9C0A4" w:rsidR="00700D10" w:rsidRPr="00B36657" w:rsidRDefault="001F6747" w:rsidP="0084122A">
            <w:pPr>
              <w:keepNext/>
              <w:spacing w:before="0" w:after="160" w:line="259" w:lineRule="auto"/>
              <w:rPr>
                <w:rFonts w:ascii="Arial" w:hAnsi="Arial" w:cs="Arial"/>
                <w:sz w:val="16"/>
                <w:szCs w:val="16"/>
              </w:rPr>
            </w:pPr>
            <w:r w:rsidRPr="0075649F">
              <w:rPr>
                <w:rFonts w:ascii="Arial" w:hAnsi="Arial" w:cs="Arial"/>
                <w:sz w:val="16"/>
                <w:szCs w:val="16"/>
              </w:rPr>
              <w:t>$150,000 p</w:t>
            </w:r>
            <w:r w:rsidR="002F6405" w:rsidRPr="0075649F">
              <w:rPr>
                <w:rFonts w:ascii="Arial" w:hAnsi="Arial" w:cs="Arial"/>
                <w:sz w:val="16"/>
                <w:szCs w:val="16"/>
              </w:rPr>
              <w:t>.</w:t>
            </w:r>
            <w:r w:rsidRPr="0075649F">
              <w:rPr>
                <w:rFonts w:ascii="Arial" w:hAnsi="Arial" w:cs="Arial"/>
                <w:sz w:val="16"/>
                <w:szCs w:val="16"/>
              </w:rPr>
              <w:t>a</w:t>
            </w:r>
            <w:r w:rsidR="002F6405" w:rsidRPr="00B36657">
              <w:rPr>
                <w:rFonts w:ascii="Arial" w:hAnsi="Arial" w:cs="Arial"/>
                <w:sz w:val="16"/>
                <w:szCs w:val="16"/>
              </w:rPr>
              <w:t>.</w:t>
            </w:r>
            <w:r w:rsidR="00700D10" w:rsidRPr="00B36657">
              <w:rPr>
                <w:rFonts w:ascii="Arial" w:hAnsi="Arial" w:cs="Arial"/>
                <w:sz w:val="16"/>
                <w:szCs w:val="16"/>
              </w:rPr>
              <w:t xml:space="preserve"> </w:t>
            </w:r>
          </w:p>
        </w:tc>
        <w:tc>
          <w:tcPr>
            <w:tcW w:w="1469" w:type="dxa"/>
            <w:tcBorders>
              <w:top w:val="single" w:sz="4" w:space="0" w:color="auto"/>
              <w:left w:val="single" w:sz="4" w:space="0" w:color="auto"/>
              <w:bottom w:val="single" w:sz="4" w:space="0" w:color="auto"/>
              <w:right w:val="single" w:sz="4" w:space="0" w:color="auto"/>
            </w:tcBorders>
            <w:hideMark/>
          </w:tcPr>
          <w:p w14:paraId="706BA0DB" w14:textId="3CA16749" w:rsidR="00700D10" w:rsidRPr="002F6405" w:rsidRDefault="001F6747" w:rsidP="000E7E61">
            <w:pPr>
              <w:keepNext/>
              <w:spacing w:before="0" w:after="160" w:line="259" w:lineRule="auto"/>
              <w:jc w:val="center"/>
              <w:rPr>
                <w:rFonts w:ascii="Arial" w:hAnsi="Arial" w:cs="Arial"/>
                <w:sz w:val="16"/>
                <w:szCs w:val="16"/>
              </w:rPr>
            </w:pPr>
            <w:r w:rsidRPr="00DE2638">
              <w:rPr>
                <w:rFonts w:ascii="Arial" w:hAnsi="Arial" w:cs="Arial"/>
                <w:sz w:val="16"/>
                <w:szCs w:val="16"/>
              </w:rPr>
              <w:t>0</w:t>
            </w:r>
          </w:p>
        </w:tc>
        <w:tc>
          <w:tcPr>
            <w:tcW w:w="1465" w:type="dxa"/>
            <w:tcBorders>
              <w:top w:val="single" w:sz="4" w:space="0" w:color="auto"/>
              <w:left w:val="single" w:sz="4" w:space="0" w:color="auto"/>
              <w:bottom w:val="single" w:sz="4" w:space="0" w:color="auto"/>
              <w:right w:val="single" w:sz="4" w:space="0" w:color="auto"/>
            </w:tcBorders>
            <w:hideMark/>
          </w:tcPr>
          <w:p w14:paraId="6C06EEB0" w14:textId="316C270E" w:rsidR="00700D10" w:rsidRPr="0075649F" w:rsidRDefault="00B11814" w:rsidP="00B36657">
            <w:pPr>
              <w:keepNext/>
              <w:spacing w:before="0" w:after="160" w:line="259" w:lineRule="auto"/>
              <w:rPr>
                <w:rFonts w:ascii="Arial" w:hAnsi="Arial" w:cs="Arial"/>
                <w:sz w:val="16"/>
                <w:szCs w:val="16"/>
              </w:rPr>
            </w:pPr>
            <w:r>
              <w:rPr>
                <w:rFonts w:ascii="Arial" w:hAnsi="Arial" w:cs="Arial"/>
                <w:sz w:val="16"/>
                <w:szCs w:val="16"/>
              </w:rPr>
              <w:t>$150,061</w:t>
            </w:r>
          </w:p>
        </w:tc>
      </w:tr>
      <w:tr w:rsidR="00700D10" w:rsidRPr="00700D10" w14:paraId="0E83A45B"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4E012047" w14:textId="013F797B" w:rsidR="00700D10" w:rsidRPr="002F6405" w:rsidRDefault="00700D10" w:rsidP="00363266">
            <w:pPr>
              <w:keepNext/>
              <w:spacing w:before="0" w:after="160" w:line="259" w:lineRule="auto"/>
              <w:rPr>
                <w:rFonts w:ascii="Arial" w:hAnsi="Arial" w:cs="Arial"/>
                <w:sz w:val="16"/>
                <w:szCs w:val="16"/>
              </w:rPr>
            </w:pPr>
            <w:r w:rsidRPr="00DE2638">
              <w:rPr>
                <w:rFonts w:ascii="Arial" w:hAnsi="Arial" w:cs="Arial"/>
                <w:sz w:val="16"/>
                <w:szCs w:val="16"/>
              </w:rPr>
              <w:t>Deputy Chair</w:t>
            </w:r>
            <w:r w:rsidR="00B1342D">
              <w:rPr>
                <w:rFonts w:ascii="Arial" w:hAnsi="Arial" w:cs="Arial"/>
                <w:sz w:val="16"/>
                <w:szCs w:val="16"/>
              </w:rPr>
              <w:t xml:space="preserve"> </w:t>
            </w:r>
          </w:p>
        </w:tc>
        <w:tc>
          <w:tcPr>
            <w:tcW w:w="1515" w:type="dxa"/>
            <w:tcBorders>
              <w:top w:val="single" w:sz="4" w:space="0" w:color="auto"/>
              <w:left w:val="single" w:sz="4" w:space="0" w:color="auto"/>
              <w:bottom w:val="single" w:sz="4" w:space="0" w:color="auto"/>
              <w:right w:val="single" w:sz="4" w:space="0" w:color="auto"/>
            </w:tcBorders>
            <w:hideMark/>
          </w:tcPr>
          <w:p w14:paraId="1C4027C0" w14:textId="1CEAD646" w:rsidR="00700D10" w:rsidRPr="002F6405" w:rsidRDefault="00363266" w:rsidP="0084122A">
            <w:pPr>
              <w:keepNext/>
              <w:spacing w:before="0" w:after="160" w:line="259" w:lineRule="auto"/>
              <w:rPr>
                <w:rFonts w:ascii="Arial" w:hAnsi="Arial" w:cs="Arial"/>
                <w:sz w:val="16"/>
                <w:szCs w:val="16"/>
              </w:rPr>
            </w:pPr>
            <w:r>
              <w:rPr>
                <w:rFonts w:ascii="Arial" w:hAnsi="Arial" w:cs="Arial"/>
                <w:sz w:val="16"/>
                <w:szCs w:val="16"/>
              </w:rPr>
              <w:t>Madeline Brennan QC</w:t>
            </w:r>
          </w:p>
        </w:tc>
        <w:tc>
          <w:tcPr>
            <w:tcW w:w="1639" w:type="dxa"/>
            <w:tcBorders>
              <w:top w:val="single" w:sz="4" w:space="0" w:color="auto"/>
              <w:left w:val="single" w:sz="4" w:space="0" w:color="auto"/>
              <w:bottom w:val="single" w:sz="4" w:space="0" w:color="auto"/>
              <w:right w:val="single" w:sz="4" w:space="0" w:color="auto"/>
            </w:tcBorders>
            <w:hideMark/>
          </w:tcPr>
          <w:p w14:paraId="6441B010" w14:textId="305EF229" w:rsidR="00700D10" w:rsidRPr="00EB7BA8" w:rsidRDefault="00D50D70" w:rsidP="000E7E61">
            <w:pPr>
              <w:keepNext/>
              <w:spacing w:before="0" w:after="160" w:line="259" w:lineRule="auto"/>
              <w:jc w:val="center"/>
              <w:rPr>
                <w:rFonts w:ascii="Arial" w:hAnsi="Arial" w:cs="Arial"/>
                <w:sz w:val="16"/>
                <w:szCs w:val="16"/>
              </w:rPr>
            </w:pPr>
            <w:r>
              <w:rPr>
                <w:rFonts w:ascii="Arial" w:hAnsi="Arial" w:cs="Arial"/>
                <w:sz w:val="16"/>
                <w:szCs w:val="16"/>
              </w:rPr>
              <w:t>25</w:t>
            </w:r>
          </w:p>
        </w:tc>
        <w:tc>
          <w:tcPr>
            <w:tcW w:w="1466" w:type="dxa"/>
            <w:tcBorders>
              <w:top w:val="single" w:sz="4" w:space="0" w:color="auto"/>
              <w:left w:val="single" w:sz="4" w:space="0" w:color="auto"/>
              <w:bottom w:val="single" w:sz="4" w:space="0" w:color="auto"/>
              <w:right w:val="single" w:sz="4" w:space="0" w:color="auto"/>
            </w:tcBorders>
            <w:hideMark/>
          </w:tcPr>
          <w:p w14:paraId="470C424F" w14:textId="6C81B845" w:rsidR="00700D10" w:rsidRPr="0075649F" w:rsidRDefault="001F6747" w:rsidP="0084122A">
            <w:pPr>
              <w:keepNext/>
              <w:spacing w:before="0" w:after="160" w:line="259" w:lineRule="auto"/>
              <w:rPr>
                <w:rFonts w:ascii="Arial" w:hAnsi="Arial" w:cs="Arial"/>
                <w:sz w:val="16"/>
                <w:szCs w:val="16"/>
              </w:rPr>
            </w:pPr>
            <w:r w:rsidRPr="0075649F">
              <w:rPr>
                <w:rFonts w:ascii="Arial" w:hAnsi="Arial" w:cs="Arial"/>
                <w:sz w:val="16"/>
                <w:szCs w:val="16"/>
              </w:rPr>
              <w:t>$75,000 p</w:t>
            </w:r>
            <w:r w:rsidR="002F6405" w:rsidRPr="0075649F">
              <w:rPr>
                <w:rFonts w:ascii="Arial" w:hAnsi="Arial" w:cs="Arial"/>
                <w:sz w:val="16"/>
                <w:szCs w:val="16"/>
              </w:rPr>
              <w:t>.</w:t>
            </w:r>
            <w:r w:rsidRPr="0075649F">
              <w:rPr>
                <w:rFonts w:ascii="Arial" w:hAnsi="Arial" w:cs="Arial"/>
                <w:sz w:val="16"/>
                <w:szCs w:val="16"/>
              </w:rPr>
              <w:t>a</w:t>
            </w:r>
            <w:r w:rsidR="002F6405" w:rsidRPr="0075649F">
              <w:rPr>
                <w:rFonts w:ascii="Arial" w:hAnsi="Arial" w:cs="Arial"/>
                <w:sz w:val="16"/>
                <w:szCs w:val="16"/>
              </w:rPr>
              <w:t>.</w:t>
            </w:r>
          </w:p>
        </w:tc>
        <w:tc>
          <w:tcPr>
            <w:tcW w:w="1469" w:type="dxa"/>
            <w:tcBorders>
              <w:top w:val="single" w:sz="4" w:space="0" w:color="auto"/>
              <w:left w:val="single" w:sz="4" w:space="0" w:color="auto"/>
              <w:bottom w:val="single" w:sz="4" w:space="0" w:color="auto"/>
              <w:right w:val="single" w:sz="4" w:space="0" w:color="auto"/>
            </w:tcBorders>
            <w:hideMark/>
          </w:tcPr>
          <w:p w14:paraId="3C58AB23" w14:textId="29B88B59" w:rsidR="00700D10" w:rsidRPr="002F6405" w:rsidRDefault="001F6747" w:rsidP="000E7E61">
            <w:pPr>
              <w:keepNext/>
              <w:spacing w:before="0" w:after="160" w:line="259" w:lineRule="auto"/>
              <w:jc w:val="center"/>
              <w:rPr>
                <w:rFonts w:ascii="Arial" w:hAnsi="Arial" w:cs="Arial"/>
                <w:sz w:val="16"/>
                <w:szCs w:val="16"/>
              </w:rPr>
            </w:pPr>
            <w:r w:rsidRPr="00DE2638">
              <w:rPr>
                <w:rFonts w:ascii="Arial" w:hAnsi="Arial" w:cs="Arial"/>
                <w:sz w:val="16"/>
                <w:szCs w:val="16"/>
              </w:rPr>
              <w:t>0</w:t>
            </w:r>
          </w:p>
        </w:tc>
        <w:tc>
          <w:tcPr>
            <w:tcW w:w="1465" w:type="dxa"/>
            <w:tcBorders>
              <w:top w:val="single" w:sz="4" w:space="0" w:color="auto"/>
              <w:left w:val="single" w:sz="4" w:space="0" w:color="auto"/>
              <w:bottom w:val="single" w:sz="4" w:space="0" w:color="auto"/>
              <w:right w:val="single" w:sz="4" w:space="0" w:color="auto"/>
            </w:tcBorders>
            <w:hideMark/>
          </w:tcPr>
          <w:p w14:paraId="30AA40C5" w14:textId="65F54DA4" w:rsidR="00700D10" w:rsidRPr="0055655E" w:rsidRDefault="00B11814" w:rsidP="00B36657">
            <w:pPr>
              <w:keepNext/>
              <w:spacing w:before="0" w:after="160" w:line="259" w:lineRule="auto"/>
              <w:rPr>
                <w:rFonts w:ascii="Arial" w:hAnsi="Arial" w:cs="Arial"/>
                <w:sz w:val="16"/>
                <w:szCs w:val="16"/>
              </w:rPr>
            </w:pPr>
            <w:r>
              <w:rPr>
                <w:rFonts w:ascii="Arial" w:hAnsi="Arial" w:cs="Arial"/>
                <w:sz w:val="16"/>
                <w:szCs w:val="16"/>
              </w:rPr>
              <w:t>$75,030</w:t>
            </w:r>
          </w:p>
        </w:tc>
      </w:tr>
      <w:tr w:rsidR="00700D10" w:rsidRPr="00700D10" w14:paraId="6598C53B" w14:textId="77777777" w:rsidTr="00142E01">
        <w:trPr>
          <w:trHeight w:val="504"/>
        </w:trPr>
        <w:tc>
          <w:tcPr>
            <w:tcW w:w="1649" w:type="dxa"/>
            <w:tcBorders>
              <w:top w:val="single" w:sz="4" w:space="0" w:color="auto"/>
              <w:left w:val="single" w:sz="4" w:space="0" w:color="auto"/>
              <w:bottom w:val="single" w:sz="4" w:space="0" w:color="auto"/>
              <w:right w:val="single" w:sz="4" w:space="0" w:color="auto"/>
            </w:tcBorders>
          </w:tcPr>
          <w:p w14:paraId="6B44E1EA" w14:textId="67C9D51C" w:rsidR="00700D10" w:rsidRPr="00DE2638" w:rsidRDefault="00700D10" w:rsidP="00363266">
            <w:pPr>
              <w:keepNext/>
              <w:spacing w:before="0" w:after="0" w:line="240" w:lineRule="auto"/>
              <w:rPr>
                <w:rFonts w:ascii="Arial" w:hAnsi="Arial" w:cs="Arial"/>
                <w:sz w:val="16"/>
                <w:szCs w:val="16"/>
              </w:rPr>
            </w:pPr>
            <w:r w:rsidRPr="00DE2638">
              <w:rPr>
                <w:rFonts w:ascii="Arial" w:hAnsi="Arial" w:cs="Arial"/>
                <w:sz w:val="16"/>
                <w:szCs w:val="16"/>
              </w:rPr>
              <w:t>Member</w:t>
            </w:r>
            <w:r w:rsidR="00B1342D">
              <w:rPr>
                <w:rFonts w:ascii="Arial" w:hAnsi="Arial" w:cs="Arial"/>
                <w:sz w:val="16"/>
                <w:szCs w:val="16"/>
              </w:rPr>
              <w:t xml:space="preserve"> </w:t>
            </w:r>
          </w:p>
        </w:tc>
        <w:tc>
          <w:tcPr>
            <w:tcW w:w="1515" w:type="dxa"/>
            <w:tcBorders>
              <w:top w:val="single" w:sz="4" w:space="0" w:color="auto"/>
              <w:left w:val="single" w:sz="4" w:space="0" w:color="auto"/>
              <w:bottom w:val="single" w:sz="4" w:space="0" w:color="auto"/>
              <w:right w:val="single" w:sz="4" w:space="0" w:color="auto"/>
            </w:tcBorders>
          </w:tcPr>
          <w:p w14:paraId="4C9BCA50" w14:textId="754138C6" w:rsidR="00700D10" w:rsidRPr="00DE2638" w:rsidRDefault="00363266" w:rsidP="0084122A">
            <w:pPr>
              <w:keepNext/>
              <w:spacing w:before="0" w:after="0" w:line="240" w:lineRule="auto"/>
              <w:rPr>
                <w:rFonts w:ascii="Arial" w:hAnsi="Arial" w:cs="Arial"/>
                <w:sz w:val="16"/>
                <w:szCs w:val="16"/>
              </w:rPr>
            </w:pPr>
            <w:r>
              <w:rPr>
                <w:rFonts w:ascii="Arial" w:hAnsi="Arial" w:cs="Arial"/>
                <w:sz w:val="16"/>
                <w:szCs w:val="16"/>
              </w:rPr>
              <w:t>Dr Warren Mundy</w:t>
            </w:r>
            <w:r w:rsidR="00CA7EAB">
              <w:rPr>
                <w:rFonts w:ascii="Arial" w:hAnsi="Arial" w:cs="Arial"/>
                <w:sz w:val="16"/>
                <w:szCs w:val="16"/>
              </w:rPr>
              <w:t xml:space="preserve"> </w:t>
            </w:r>
            <w:r w:rsidR="00CA7EAB" w:rsidRPr="00CA7EAB">
              <w:rPr>
                <w:rFonts w:ascii="Arial" w:hAnsi="Arial" w:cs="Arial"/>
                <w:sz w:val="16"/>
                <w:szCs w:val="16"/>
              </w:rPr>
              <w:t xml:space="preserve">FAICD </w:t>
            </w:r>
            <w:proofErr w:type="spellStart"/>
            <w:r w:rsidR="00CA7EAB" w:rsidRPr="00CA7EAB">
              <w:rPr>
                <w:rFonts w:ascii="Arial" w:hAnsi="Arial" w:cs="Arial"/>
                <w:sz w:val="16"/>
                <w:szCs w:val="16"/>
              </w:rPr>
              <w:t>FRAeS</w:t>
            </w:r>
            <w:proofErr w:type="spellEnd"/>
          </w:p>
        </w:tc>
        <w:tc>
          <w:tcPr>
            <w:tcW w:w="1639" w:type="dxa"/>
            <w:tcBorders>
              <w:top w:val="single" w:sz="4" w:space="0" w:color="auto"/>
              <w:left w:val="single" w:sz="4" w:space="0" w:color="auto"/>
              <w:bottom w:val="single" w:sz="4" w:space="0" w:color="auto"/>
              <w:right w:val="single" w:sz="4" w:space="0" w:color="auto"/>
            </w:tcBorders>
          </w:tcPr>
          <w:p w14:paraId="0FAD4618" w14:textId="49CDCD6E" w:rsidR="00700D10" w:rsidRPr="00EB7BA8" w:rsidRDefault="00D50D70" w:rsidP="000E7E61">
            <w:pPr>
              <w:keepNext/>
              <w:spacing w:before="0" w:after="0" w:line="240" w:lineRule="auto"/>
              <w:jc w:val="center"/>
              <w:rPr>
                <w:rFonts w:ascii="Arial" w:hAnsi="Arial" w:cs="Arial"/>
                <w:sz w:val="16"/>
                <w:szCs w:val="16"/>
              </w:rPr>
            </w:pPr>
            <w:r>
              <w:rPr>
                <w:rFonts w:ascii="Arial" w:hAnsi="Arial" w:cs="Arial"/>
                <w:sz w:val="16"/>
                <w:szCs w:val="16"/>
              </w:rPr>
              <w:t>24</w:t>
            </w:r>
          </w:p>
        </w:tc>
        <w:tc>
          <w:tcPr>
            <w:tcW w:w="1466" w:type="dxa"/>
            <w:tcBorders>
              <w:top w:val="single" w:sz="4" w:space="0" w:color="auto"/>
              <w:left w:val="single" w:sz="4" w:space="0" w:color="auto"/>
              <w:bottom w:val="single" w:sz="4" w:space="0" w:color="auto"/>
              <w:right w:val="single" w:sz="4" w:space="0" w:color="auto"/>
            </w:tcBorders>
          </w:tcPr>
          <w:p w14:paraId="0566B0D5" w14:textId="57DD4322" w:rsidR="00700D10" w:rsidRPr="0075649F" w:rsidRDefault="001F6747" w:rsidP="0084122A">
            <w:pPr>
              <w:keepNext/>
              <w:spacing w:before="0" w:after="0" w:line="240" w:lineRule="auto"/>
              <w:rPr>
                <w:rFonts w:ascii="Arial" w:hAnsi="Arial" w:cs="Arial"/>
                <w:sz w:val="16"/>
                <w:szCs w:val="16"/>
              </w:rPr>
            </w:pPr>
            <w:r w:rsidRPr="0075649F">
              <w:rPr>
                <w:rFonts w:ascii="Arial" w:hAnsi="Arial" w:cs="Arial"/>
                <w:sz w:val="16"/>
                <w:szCs w:val="16"/>
              </w:rPr>
              <w:t>$75,000 p</w:t>
            </w:r>
            <w:r w:rsidR="002F6405" w:rsidRPr="0075649F">
              <w:rPr>
                <w:rFonts w:ascii="Arial" w:hAnsi="Arial" w:cs="Arial"/>
                <w:sz w:val="16"/>
                <w:szCs w:val="16"/>
              </w:rPr>
              <w:t>.</w:t>
            </w:r>
            <w:r w:rsidRPr="0075649F">
              <w:rPr>
                <w:rFonts w:ascii="Arial" w:hAnsi="Arial" w:cs="Arial"/>
                <w:sz w:val="16"/>
                <w:szCs w:val="16"/>
              </w:rPr>
              <w:t>a</w:t>
            </w:r>
            <w:r w:rsidR="002F6405" w:rsidRPr="0075649F">
              <w:rPr>
                <w:rFonts w:ascii="Arial" w:hAnsi="Arial" w:cs="Arial"/>
                <w:sz w:val="16"/>
                <w:szCs w:val="16"/>
              </w:rPr>
              <w:t>.</w:t>
            </w:r>
          </w:p>
        </w:tc>
        <w:tc>
          <w:tcPr>
            <w:tcW w:w="1469" w:type="dxa"/>
            <w:tcBorders>
              <w:top w:val="single" w:sz="4" w:space="0" w:color="auto"/>
              <w:left w:val="single" w:sz="4" w:space="0" w:color="auto"/>
              <w:bottom w:val="single" w:sz="4" w:space="0" w:color="auto"/>
              <w:right w:val="single" w:sz="4" w:space="0" w:color="auto"/>
            </w:tcBorders>
          </w:tcPr>
          <w:p w14:paraId="4F9A9200" w14:textId="58952DD8" w:rsidR="00700D10" w:rsidRPr="00DE2638" w:rsidRDefault="001F6747" w:rsidP="000E7E61">
            <w:pPr>
              <w:keepNext/>
              <w:spacing w:before="0" w:after="0" w:line="240" w:lineRule="auto"/>
              <w:jc w:val="center"/>
              <w:rPr>
                <w:rFonts w:ascii="Arial" w:hAnsi="Arial" w:cs="Arial"/>
                <w:sz w:val="16"/>
                <w:szCs w:val="16"/>
              </w:rPr>
            </w:pPr>
            <w:r w:rsidRPr="00DE2638">
              <w:rPr>
                <w:rFonts w:ascii="Arial" w:hAnsi="Arial" w:cs="Arial"/>
                <w:sz w:val="16"/>
                <w:szCs w:val="16"/>
              </w:rPr>
              <w:t>0</w:t>
            </w:r>
          </w:p>
        </w:tc>
        <w:tc>
          <w:tcPr>
            <w:tcW w:w="1465" w:type="dxa"/>
            <w:tcBorders>
              <w:top w:val="single" w:sz="4" w:space="0" w:color="auto"/>
              <w:left w:val="single" w:sz="4" w:space="0" w:color="auto"/>
              <w:bottom w:val="single" w:sz="4" w:space="0" w:color="auto"/>
              <w:right w:val="single" w:sz="4" w:space="0" w:color="auto"/>
            </w:tcBorders>
          </w:tcPr>
          <w:p w14:paraId="77DFF3CC" w14:textId="224CF1EA" w:rsidR="00700D10" w:rsidRPr="0055655E" w:rsidRDefault="00B11814" w:rsidP="00B36657">
            <w:pPr>
              <w:keepNext/>
              <w:spacing w:before="0" w:after="0" w:line="240" w:lineRule="auto"/>
              <w:rPr>
                <w:rFonts w:ascii="Arial" w:hAnsi="Arial" w:cs="Arial"/>
                <w:sz w:val="16"/>
                <w:szCs w:val="16"/>
              </w:rPr>
            </w:pPr>
            <w:r>
              <w:rPr>
                <w:rFonts w:ascii="Arial" w:hAnsi="Arial" w:cs="Arial"/>
                <w:sz w:val="16"/>
                <w:szCs w:val="16"/>
              </w:rPr>
              <w:t>$75,030</w:t>
            </w:r>
          </w:p>
        </w:tc>
      </w:tr>
      <w:tr w:rsidR="00B1342D" w:rsidRPr="00700D10" w14:paraId="374E5916" w14:textId="77777777" w:rsidTr="00142E01">
        <w:trPr>
          <w:trHeight w:val="504"/>
        </w:trPr>
        <w:tc>
          <w:tcPr>
            <w:tcW w:w="1649" w:type="dxa"/>
            <w:tcBorders>
              <w:top w:val="single" w:sz="4" w:space="0" w:color="auto"/>
              <w:left w:val="single" w:sz="4" w:space="0" w:color="auto"/>
              <w:bottom w:val="single" w:sz="4" w:space="0" w:color="auto"/>
              <w:right w:val="single" w:sz="4" w:space="0" w:color="auto"/>
            </w:tcBorders>
          </w:tcPr>
          <w:p w14:paraId="35CAB9F1" w14:textId="4785F690" w:rsidR="00B1342D" w:rsidRPr="00DE2638" w:rsidRDefault="00B1342D" w:rsidP="00363266">
            <w:pPr>
              <w:keepNext/>
              <w:spacing w:before="0" w:after="0" w:line="240" w:lineRule="auto"/>
              <w:rPr>
                <w:rFonts w:ascii="Arial" w:hAnsi="Arial" w:cs="Arial"/>
                <w:sz w:val="16"/>
                <w:szCs w:val="16"/>
              </w:rPr>
            </w:pPr>
            <w:r>
              <w:rPr>
                <w:rFonts w:ascii="Arial" w:hAnsi="Arial" w:cs="Arial"/>
                <w:sz w:val="16"/>
                <w:szCs w:val="16"/>
              </w:rPr>
              <w:t xml:space="preserve">Member </w:t>
            </w:r>
          </w:p>
        </w:tc>
        <w:tc>
          <w:tcPr>
            <w:tcW w:w="1515" w:type="dxa"/>
            <w:tcBorders>
              <w:top w:val="single" w:sz="4" w:space="0" w:color="auto"/>
              <w:left w:val="single" w:sz="4" w:space="0" w:color="auto"/>
              <w:bottom w:val="single" w:sz="4" w:space="0" w:color="auto"/>
              <w:right w:val="single" w:sz="4" w:space="0" w:color="auto"/>
            </w:tcBorders>
          </w:tcPr>
          <w:p w14:paraId="3D4C1431" w14:textId="25F87664" w:rsidR="00B1342D" w:rsidRPr="00DE2638" w:rsidRDefault="00363266" w:rsidP="0084122A">
            <w:pPr>
              <w:keepNext/>
              <w:spacing w:before="0" w:after="0" w:line="240" w:lineRule="auto"/>
              <w:rPr>
                <w:rFonts w:ascii="Arial" w:hAnsi="Arial" w:cs="Arial"/>
                <w:sz w:val="16"/>
                <w:szCs w:val="16"/>
              </w:rPr>
            </w:pPr>
            <w:r>
              <w:rPr>
                <w:rFonts w:ascii="Arial" w:hAnsi="Arial" w:cs="Arial"/>
                <w:sz w:val="16"/>
                <w:szCs w:val="16"/>
              </w:rPr>
              <w:t>Fiona Guthrie AM</w:t>
            </w:r>
          </w:p>
        </w:tc>
        <w:tc>
          <w:tcPr>
            <w:tcW w:w="1639" w:type="dxa"/>
            <w:tcBorders>
              <w:top w:val="single" w:sz="4" w:space="0" w:color="auto"/>
              <w:left w:val="single" w:sz="4" w:space="0" w:color="auto"/>
              <w:bottom w:val="single" w:sz="4" w:space="0" w:color="auto"/>
              <w:right w:val="single" w:sz="4" w:space="0" w:color="auto"/>
            </w:tcBorders>
          </w:tcPr>
          <w:p w14:paraId="2AAF6AC7" w14:textId="7682AB70" w:rsidR="00B1342D" w:rsidRPr="00EB7BA8" w:rsidRDefault="00D50D70" w:rsidP="000E7E61">
            <w:pPr>
              <w:keepNext/>
              <w:spacing w:before="0" w:after="0" w:line="240" w:lineRule="auto"/>
              <w:jc w:val="center"/>
              <w:rPr>
                <w:rFonts w:ascii="Arial" w:hAnsi="Arial" w:cs="Arial"/>
                <w:sz w:val="16"/>
                <w:szCs w:val="16"/>
              </w:rPr>
            </w:pPr>
            <w:r>
              <w:rPr>
                <w:rFonts w:ascii="Arial" w:hAnsi="Arial" w:cs="Arial"/>
                <w:sz w:val="16"/>
                <w:szCs w:val="16"/>
              </w:rPr>
              <w:t>25</w:t>
            </w:r>
          </w:p>
        </w:tc>
        <w:tc>
          <w:tcPr>
            <w:tcW w:w="1466" w:type="dxa"/>
            <w:tcBorders>
              <w:top w:val="single" w:sz="4" w:space="0" w:color="auto"/>
              <w:left w:val="single" w:sz="4" w:space="0" w:color="auto"/>
              <w:bottom w:val="single" w:sz="4" w:space="0" w:color="auto"/>
              <w:right w:val="single" w:sz="4" w:space="0" w:color="auto"/>
            </w:tcBorders>
          </w:tcPr>
          <w:p w14:paraId="26A01901" w14:textId="4F6FB04A" w:rsidR="00B1342D" w:rsidRPr="0075649F" w:rsidRDefault="00363266" w:rsidP="0084122A">
            <w:pPr>
              <w:keepNext/>
              <w:spacing w:before="0" w:after="0" w:line="240" w:lineRule="auto"/>
              <w:rPr>
                <w:rFonts w:ascii="Arial" w:hAnsi="Arial" w:cs="Arial"/>
                <w:sz w:val="16"/>
                <w:szCs w:val="16"/>
              </w:rPr>
            </w:pPr>
            <w:r w:rsidRPr="0075649F">
              <w:rPr>
                <w:rFonts w:ascii="Arial" w:hAnsi="Arial" w:cs="Arial"/>
                <w:sz w:val="16"/>
                <w:szCs w:val="16"/>
              </w:rPr>
              <w:t>$75,000 p.a.</w:t>
            </w:r>
          </w:p>
        </w:tc>
        <w:tc>
          <w:tcPr>
            <w:tcW w:w="1469" w:type="dxa"/>
            <w:tcBorders>
              <w:top w:val="single" w:sz="4" w:space="0" w:color="auto"/>
              <w:left w:val="single" w:sz="4" w:space="0" w:color="auto"/>
              <w:bottom w:val="single" w:sz="4" w:space="0" w:color="auto"/>
              <w:right w:val="single" w:sz="4" w:space="0" w:color="auto"/>
            </w:tcBorders>
          </w:tcPr>
          <w:p w14:paraId="66EC047E" w14:textId="5D08F284" w:rsidR="00B1342D" w:rsidRPr="00DE2638" w:rsidRDefault="007D26A5" w:rsidP="000E7E61">
            <w:pPr>
              <w:keepNext/>
              <w:spacing w:before="0" w:after="0" w:line="240" w:lineRule="auto"/>
              <w:jc w:val="center"/>
              <w:rPr>
                <w:rFonts w:ascii="Arial" w:hAnsi="Arial" w:cs="Arial"/>
                <w:sz w:val="16"/>
                <w:szCs w:val="16"/>
              </w:rPr>
            </w:pPr>
            <w:r>
              <w:rPr>
                <w:rFonts w:ascii="Arial" w:hAnsi="Arial" w:cs="Arial"/>
                <w:sz w:val="16"/>
                <w:szCs w:val="16"/>
              </w:rPr>
              <w:t>0</w:t>
            </w:r>
          </w:p>
        </w:tc>
        <w:tc>
          <w:tcPr>
            <w:tcW w:w="1465" w:type="dxa"/>
            <w:tcBorders>
              <w:top w:val="single" w:sz="4" w:space="0" w:color="auto"/>
              <w:left w:val="single" w:sz="4" w:space="0" w:color="auto"/>
              <w:bottom w:val="single" w:sz="4" w:space="0" w:color="auto"/>
              <w:right w:val="single" w:sz="4" w:space="0" w:color="auto"/>
            </w:tcBorders>
          </w:tcPr>
          <w:p w14:paraId="07753A68" w14:textId="29871EEE" w:rsidR="00B1342D" w:rsidRPr="0055655E" w:rsidRDefault="00B11814" w:rsidP="00B36657">
            <w:pPr>
              <w:keepNext/>
              <w:spacing w:before="0" w:after="0" w:line="240" w:lineRule="auto"/>
              <w:rPr>
                <w:rFonts w:ascii="Arial" w:hAnsi="Arial" w:cs="Arial"/>
                <w:sz w:val="16"/>
                <w:szCs w:val="16"/>
              </w:rPr>
            </w:pPr>
            <w:r>
              <w:rPr>
                <w:rFonts w:ascii="Arial" w:hAnsi="Arial" w:cs="Arial"/>
                <w:sz w:val="16"/>
                <w:szCs w:val="16"/>
              </w:rPr>
              <w:t>$75,030</w:t>
            </w:r>
          </w:p>
        </w:tc>
      </w:tr>
      <w:tr w:rsidR="00700D10" w:rsidRPr="00700D10" w14:paraId="13426DB7"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30D34678" w14:textId="4A64133C"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 xml:space="preserve">No. </w:t>
            </w:r>
            <w:r w:rsidR="00E43C0D">
              <w:rPr>
                <w:rFonts w:ascii="Arial" w:hAnsi="Arial" w:cs="Arial"/>
                <w:b/>
                <w:sz w:val="16"/>
                <w:szCs w:val="16"/>
              </w:rPr>
              <w:t xml:space="preserve">of </w:t>
            </w:r>
            <w:r w:rsidRPr="00DE2638">
              <w:rPr>
                <w:rFonts w:ascii="Arial" w:hAnsi="Arial" w:cs="Arial"/>
                <w:b/>
                <w:sz w:val="16"/>
                <w:szCs w:val="16"/>
              </w:rPr>
              <w:t>scheduled meetings/sessions</w:t>
            </w:r>
          </w:p>
        </w:tc>
        <w:tc>
          <w:tcPr>
            <w:tcW w:w="7554" w:type="dxa"/>
            <w:gridSpan w:val="5"/>
            <w:tcBorders>
              <w:top w:val="single" w:sz="4" w:space="0" w:color="auto"/>
              <w:left w:val="single" w:sz="4" w:space="0" w:color="auto"/>
              <w:bottom w:val="single" w:sz="4" w:space="0" w:color="auto"/>
              <w:right w:val="single" w:sz="4" w:space="0" w:color="auto"/>
            </w:tcBorders>
            <w:hideMark/>
          </w:tcPr>
          <w:p w14:paraId="344341DC" w14:textId="0A001ACF" w:rsidR="00700D10" w:rsidRPr="00AD3905" w:rsidRDefault="00D50D70" w:rsidP="0084122A">
            <w:pPr>
              <w:keepNext/>
              <w:spacing w:before="0" w:after="160" w:line="259" w:lineRule="auto"/>
              <w:rPr>
                <w:rFonts w:ascii="Arial" w:hAnsi="Arial" w:cs="Arial"/>
                <w:sz w:val="16"/>
                <w:szCs w:val="16"/>
              </w:rPr>
            </w:pPr>
            <w:r>
              <w:rPr>
                <w:rFonts w:ascii="Arial" w:hAnsi="Arial" w:cs="Arial"/>
                <w:sz w:val="16"/>
                <w:szCs w:val="16"/>
              </w:rPr>
              <w:t>25</w:t>
            </w:r>
          </w:p>
        </w:tc>
      </w:tr>
      <w:tr w:rsidR="00700D10" w:rsidRPr="00700D10" w14:paraId="5D8E5AA5" w14:textId="77777777" w:rsidTr="00142E01">
        <w:tc>
          <w:tcPr>
            <w:tcW w:w="1649" w:type="dxa"/>
            <w:tcBorders>
              <w:top w:val="single" w:sz="4" w:space="0" w:color="auto"/>
              <w:left w:val="single" w:sz="4" w:space="0" w:color="auto"/>
              <w:bottom w:val="single" w:sz="4" w:space="0" w:color="auto"/>
              <w:right w:val="single" w:sz="4" w:space="0" w:color="auto"/>
            </w:tcBorders>
            <w:hideMark/>
          </w:tcPr>
          <w:p w14:paraId="7677C252" w14:textId="77777777" w:rsidR="00700D10" w:rsidRPr="00DE2638" w:rsidRDefault="00700D10" w:rsidP="0084122A">
            <w:pPr>
              <w:keepNext/>
              <w:spacing w:before="0" w:after="160" w:line="259" w:lineRule="auto"/>
              <w:rPr>
                <w:rFonts w:ascii="Arial" w:hAnsi="Arial" w:cs="Arial"/>
                <w:b/>
                <w:sz w:val="16"/>
                <w:szCs w:val="16"/>
              </w:rPr>
            </w:pPr>
            <w:r w:rsidRPr="00DE2638">
              <w:rPr>
                <w:rFonts w:ascii="Arial" w:hAnsi="Arial" w:cs="Arial"/>
                <w:b/>
                <w:sz w:val="16"/>
                <w:szCs w:val="16"/>
              </w:rPr>
              <w:t>Total out of pocket expenses</w:t>
            </w:r>
          </w:p>
        </w:tc>
        <w:tc>
          <w:tcPr>
            <w:tcW w:w="7554" w:type="dxa"/>
            <w:gridSpan w:val="5"/>
            <w:tcBorders>
              <w:top w:val="single" w:sz="4" w:space="0" w:color="auto"/>
              <w:left w:val="single" w:sz="4" w:space="0" w:color="auto"/>
              <w:bottom w:val="single" w:sz="4" w:space="0" w:color="auto"/>
              <w:right w:val="single" w:sz="4" w:space="0" w:color="auto"/>
            </w:tcBorders>
            <w:hideMark/>
          </w:tcPr>
          <w:p w14:paraId="6B66B082" w14:textId="6C8FE906" w:rsidR="00700D10" w:rsidRPr="0055655E" w:rsidRDefault="00B11814" w:rsidP="00B36657">
            <w:pPr>
              <w:keepNext/>
              <w:spacing w:before="0" w:after="160" w:line="259" w:lineRule="auto"/>
              <w:rPr>
                <w:rFonts w:ascii="Arial" w:hAnsi="Arial" w:cs="Arial"/>
                <w:sz w:val="16"/>
                <w:szCs w:val="16"/>
              </w:rPr>
            </w:pPr>
            <w:r>
              <w:rPr>
                <w:rFonts w:ascii="Arial" w:hAnsi="Arial" w:cs="Arial"/>
                <w:sz w:val="16"/>
                <w:szCs w:val="16"/>
              </w:rPr>
              <w:t>$419,607</w:t>
            </w:r>
          </w:p>
        </w:tc>
      </w:tr>
    </w:tbl>
    <w:p w14:paraId="050593A6" w14:textId="77777777" w:rsidR="00856422" w:rsidRPr="006E7694" w:rsidRDefault="00212CAB" w:rsidP="00307D68">
      <w:pPr>
        <w:pStyle w:val="Heading2"/>
      </w:pPr>
      <w:r>
        <w:br w:type="page"/>
      </w:r>
      <w:bookmarkStart w:id="77" w:name="_Toc487614503"/>
      <w:bookmarkStart w:id="78" w:name="_Toc520282145"/>
      <w:bookmarkStart w:id="79" w:name="_Toc80792947"/>
      <w:r w:rsidR="009C5D62" w:rsidRPr="00877443">
        <w:rPr>
          <w:sz w:val="36"/>
        </w:rPr>
        <w:lastRenderedPageBreak/>
        <w:t>Chair’s introduction</w:t>
      </w:r>
      <w:bookmarkEnd w:id="77"/>
      <w:bookmarkEnd w:id="78"/>
      <w:bookmarkEnd w:id="79"/>
    </w:p>
    <w:p w14:paraId="236C6C88" w14:textId="29386F33" w:rsidR="007B696F" w:rsidRDefault="007B696F" w:rsidP="007B696F">
      <w:pPr>
        <w:pStyle w:val="QCABodyText"/>
      </w:pPr>
      <w:r>
        <w:t>Amid continuing covid-19 impacts, we had a busy year monitoring and setting electricity prices and enforcing regulatory compliance by electricity retailers and distributors. We also finalised a more light-handed set of regulatory arrangements for access to Dalrymple Bay Coal Terminal</w:t>
      </w:r>
      <w:r w:rsidR="008E30E7">
        <w:t xml:space="preserve"> </w:t>
      </w:r>
      <w:r>
        <w:t>and consulted with stakeholders on guidance material for a range of matters, which will prove useful over the coming years.</w:t>
      </w:r>
    </w:p>
    <w:p w14:paraId="118C736D" w14:textId="77777777" w:rsidR="007B696F" w:rsidRDefault="007B696F" w:rsidP="00877443">
      <w:pPr>
        <w:pStyle w:val="Heading3"/>
      </w:pPr>
      <w:r>
        <w:t>Electricity industry developments</w:t>
      </w:r>
    </w:p>
    <w:p w14:paraId="5434E427" w14:textId="04F6A633" w:rsidR="007B696F" w:rsidRDefault="007B696F" w:rsidP="007B696F">
      <w:pPr>
        <w:pStyle w:val="QCABodyText"/>
      </w:pPr>
      <w:r>
        <w:t>Covid-19 impacts on households and businesses during 2020</w:t>
      </w:r>
      <w:r w:rsidR="00CE0DC5">
        <w:t>–</w:t>
      </w:r>
      <w:r>
        <w:t xml:space="preserve">21 emphasised the importance of our roles in the electricity industry. Our monitoring of the retail electricity market in </w:t>
      </w:r>
      <w:proofErr w:type="gramStart"/>
      <w:r>
        <w:t>south</w:t>
      </w:r>
      <w:r w:rsidR="00E53A2D">
        <w:t xml:space="preserve"> </w:t>
      </w:r>
      <w:r>
        <w:t>east</w:t>
      </w:r>
      <w:proofErr w:type="gramEnd"/>
      <w:r>
        <w:t xml:space="preserve"> Queensland revealed continued price decreases and innovative product offerings available for customers who shopped around. In regional Queensland, electricity prices fell again, and ongoing developments in the electricity industry saw us set a range of new tariffs under delegation by the Minister for Energy.</w:t>
      </w:r>
    </w:p>
    <w:p w14:paraId="0C2197EB" w14:textId="77777777" w:rsidR="007B696F" w:rsidRDefault="007B696F" w:rsidP="007B696F">
      <w:pPr>
        <w:pStyle w:val="QCABodyText"/>
      </w:pPr>
      <w:r>
        <w:t xml:space="preserve">While prices have been falling across Queensland, we have remained vigilant in relation to the compliance of electricity retail and network businesses with their legislative </w:t>
      </w:r>
      <w:proofErr w:type="gramStart"/>
      <w:r>
        <w:t>obligations, and</w:t>
      </w:r>
      <w:proofErr w:type="gramEnd"/>
      <w:r>
        <w:t xml:space="preserve"> implemented several enforcement actions to uphold customer protections.</w:t>
      </w:r>
    </w:p>
    <w:p w14:paraId="7FCDCD7C" w14:textId="77777777" w:rsidR="007B696F" w:rsidRDefault="007B696F" w:rsidP="00877443">
      <w:pPr>
        <w:pStyle w:val="Heading3"/>
      </w:pPr>
      <w:r>
        <w:t>Lighter-handed regulation for Dalrymple Bay Coal Terminal</w:t>
      </w:r>
    </w:p>
    <w:p w14:paraId="15511A51" w14:textId="77777777" w:rsidR="007B696F" w:rsidRDefault="007B696F" w:rsidP="007B696F">
      <w:pPr>
        <w:pStyle w:val="QCABodyText"/>
      </w:pPr>
      <w:r>
        <w:t xml:space="preserve">During the year, we finalised an access undertaking for Dalrymple Bay Coal Terminal (DBCT) that came into effect on 1 July 2021. Unlike previous undertakings, the new undertaking does not include reference prices. Instead, it provides for prices to be agreed by commercial negotiation, with recourse to arbitration by the QCA where agreement is not reached. This represents a reframing of the negotiate-arbitrate process under the QCA Act, placing greater emphasis on negotiations. Importantly, the exercise of market power will be constrained by the ability of parties to refer a dispute to us for arbitration, and by a range of information disclosure and other provisions we required to be included in the undertaking. </w:t>
      </w:r>
    </w:p>
    <w:p w14:paraId="636B4A19" w14:textId="77777777" w:rsidR="007B696F" w:rsidRDefault="007B696F" w:rsidP="00877443">
      <w:pPr>
        <w:pStyle w:val="Heading3"/>
      </w:pPr>
      <w:r>
        <w:t xml:space="preserve">Guidance for stakeholders </w:t>
      </w:r>
    </w:p>
    <w:p w14:paraId="26069586" w14:textId="3EE044CB" w:rsidR="007B696F" w:rsidRDefault="007B696F" w:rsidP="007B696F">
      <w:pPr>
        <w:pStyle w:val="QCABodyText"/>
      </w:pPr>
      <w:r>
        <w:t>It is important for our work to be transparent and predictable, so that stakeholders can have confidence in our decision making and benefit from lower regulatory costs. With these aims in mind, we consulted with stakeholders on a range of matters during 2020</w:t>
      </w:r>
      <w:r w:rsidR="00CE0DC5">
        <w:t>–</w:t>
      </w:r>
      <w:r>
        <w:t>21, including the rate of return for regulated businesses and our approach to estimating expected inflation. We also revised the pricing principles that guide us when we make recommendations to the Queensland Government about prices for monopoly water services. Finally, we published an arbitration guideline that explains how we intend to manage a dispute in relation to the DBCT service, as well as a guide to declaration of services under the QCA Act.</w:t>
      </w:r>
    </w:p>
    <w:p w14:paraId="65A2F37E" w14:textId="77777777" w:rsidR="007B696F" w:rsidRDefault="007B696F" w:rsidP="00877443">
      <w:pPr>
        <w:pStyle w:val="Heading3"/>
      </w:pPr>
      <w:r>
        <w:t>Competitive neutrality</w:t>
      </w:r>
    </w:p>
    <w:p w14:paraId="3764235B" w14:textId="77777777" w:rsidR="007B696F" w:rsidRDefault="007B696F" w:rsidP="007B696F">
      <w:pPr>
        <w:pStyle w:val="QCABodyText"/>
      </w:pPr>
      <w:r>
        <w:t>On 2 June 2021, we regained responsibility for competitive neutrality matters in Queensland. Competitive neutrality is the principle that a government organisation should not have an advantage over the private sector due to their government ownership. We will provide advice about competitive neutrality and will investigate complaints about alleged failures to comply.</w:t>
      </w:r>
    </w:p>
    <w:p w14:paraId="512B3CF5" w14:textId="17AD3A32" w:rsidR="0018721F" w:rsidRPr="0018721F" w:rsidRDefault="007B696F" w:rsidP="007B696F">
      <w:pPr>
        <w:pStyle w:val="QCABodyText"/>
      </w:pPr>
      <w:r>
        <w:t>In closing, I would like to thank staff and my fellow board members for their hard work and flexibility in fulfilling our statutory obligations during what has been another challenging year.</w:t>
      </w:r>
    </w:p>
    <w:p w14:paraId="3115212C" w14:textId="42D2852C" w:rsidR="00290C12" w:rsidRPr="00E1645E" w:rsidRDefault="007B3426" w:rsidP="00927C3A">
      <w:pPr>
        <w:pStyle w:val="Heading3-brown"/>
        <w:rPr>
          <w:rStyle w:val="QCABold"/>
          <w:b w:val="0"/>
          <w:sz w:val="22"/>
          <w:szCs w:val="22"/>
        </w:rPr>
      </w:pPr>
      <w:r w:rsidRPr="00E1645E">
        <w:rPr>
          <w:rStyle w:val="QCABold"/>
          <w:b w:val="0"/>
          <w:caps w:val="0"/>
          <w:sz w:val="22"/>
          <w:szCs w:val="22"/>
        </w:rPr>
        <w:t>Chair</w:t>
      </w:r>
      <w:r w:rsidR="008546D3" w:rsidRPr="00E1645E">
        <w:rPr>
          <w:rStyle w:val="QCABold"/>
          <w:b w:val="0"/>
          <w:sz w:val="22"/>
          <w:szCs w:val="22"/>
        </w:rPr>
        <w:t xml:space="preserve"> </w:t>
      </w:r>
    </w:p>
    <w:p w14:paraId="12A6610A" w14:textId="68BF1F07" w:rsidR="00D3340A" w:rsidRPr="00927C3A" w:rsidRDefault="00C942DD" w:rsidP="003419FA">
      <w:pPr>
        <w:pStyle w:val="HEADING3b"/>
      </w:pPr>
      <w:r w:rsidRPr="00927C3A">
        <w:t xml:space="preserve">Professor </w:t>
      </w:r>
      <w:r w:rsidR="00617F5B">
        <w:t>Flavio Menezes</w:t>
      </w:r>
    </w:p>
    <w:p w14:paraId="66243BA8" w14:textId="77777777" w:rsidR="001F513D" w:rsidRPr="007674DC" w:rsidRDefault="001F513D" w:rsidP="00FA31F7">
      <w:pPr>
        <w:pStyle w:val="HEADING3b"/>
        <w:ind w:left="-1134"/>
      </w:pPr>
    </w:p>
    <w:p w14:paraId="1711986A" w14:textId="6016442D" w:rsidR="00D3340A" w:rsidRPr="00441BCD" w:rsidRDefault="00123826" w:rsidP="00307D68">
      <w:pPr>
        <w:pStyle w:val="Heading2"/>
      </w:pPr>
      <w:r>
        <w:br w:type="page"/>
      </w:r>
      <w:bookmarkStart w:id="80" w:name="_Toc487614504"/>
      <w:bookmarkStart w:id="81" w:name="_Toc520282146"/>
      <w:bookmarkStart w:id="82" w:name="_Toc80792948"/>
      <w:r w:rsidR="009C5D62" w:rsidRPr="00CE0DC5">
        <w:rPr>
          <w:sz w:val="36"/>
        </w:rPr>
        <w:lastRenderedPageBreak/>
        <w:t>CEO’s message</w:t>
      </w:r>
      <w:bookmarkEnd w:id="80"/>
      <w:bookmarkEnd w:id="81"/>
      <w:bookmarkEnd w:id="82"/>
    </w:p>
    <w:p w14:paraId="1BD832CC" w14:textId="2D7A1AD6" w:rsidR="00B11E93" w:rsidRDefault="00B11E93" w:rsidP="00B11E93">
      <w:pPr>
        <w:pStyle w:val="QCABodyText"/>
      </w:pPr>
      <w:r>
        <w:t>The range of measures we implemented at the onset of covid-19 remained in place during 2020</w:t>
      </w:r>
      <w:r w:rsidR="00BA1DA3">
        <w:t>–</w:t>
      </w:r>
      <w:r>
        <w:t xml:space="preserve">21, allowing staff to remain productive, </w:t>
      </w:r>
      <w:proofErr w:type="gramStart"/>
      <w:r>
        <w:t>healthy</w:t>
      </w:r>
      <w:proofErr w:type="gramEnd"/>
      <w:r>
        <w:t xml:space="preserve"> and safe. </w:t>
      </w:r>
    </w:p>
    <w:p w14:paraId="502176C7" w14:textId="77777777" w:rsidR="00B11E93" w:rsidRDefault="00B11E93" w:rsidP="00CE0DC5">
      <w:pPr>
        <w:pStyle w:val="Heading3"/>
      </w:pPr>
      <w:r>
        <w:t>Staying safe and productive</w:t>
      </w:r>
    </w:p>
    <w:p w14:paraId="2ED692C0" w14:textId="77777777" w:rsidR="00B11E93" w:rsidRDefault="00B11E93" w:rsidP="00B11E93">
      <w:pPr>
        <w:pStyle w:val="QCABodyText"/>
      </w:pPr>
      <w:r>
        <w:t xml:space="preserve">Our Work Health and Safety Plan for Covid-19 was adjusted throughout the year to ensure continuing compliance with updated Queensland government advice, including the social distancing and hygiene measures recommended to reduce the risk of transmission. Meetings, </w:t>
      </w:r>
      <w:proofErr w:type="gramStart"/>
      <w:r>
        <w:t>workshops</w:t>
      </w:r>
      <w:proofErr w:type="gramEnd"/>
      <w:r>
        <w:t xml:space="preserve"> and other discussions were conducted via video- and teleconferencing, and staff continued to benefit from the range of established programs that support their physical and mental health.</w:t>
      </w:r>
    </w:p>
    <w:p w14:paraId="78C89D26" w14:textId="77777777" w:rsidR="00B11E93" w:rsidRDefault="00B11E93" w:rsidP="00B11E93">
      <w:pPr>
        <w:pStyle w:val="QCABodyText"/>
      </w:pPr>
      <w:r>
        <w:t>Recognising the importance of staff engagement and collaboration for our productivity and culture, we implemented various measures to support staff networks and collaboration as they continue to balance working from home and the office, including a wide variety of in-house activities and social events.</w:t>
      </w:r>
    </w:p>
    <w:p w14:paraId="4341ACFF" w14:textId="77777777" w:rsidR="00B11E93" w:rsidRDefault="00B11E93" w:rsidP="00CE0DC5">
      <w:pPr>
        <w:pStyle w:val="Heading3"/>
      </w:pPr>
      <w:r>
        <w:t xml:space="preserve">Staff development </w:t>
      </w:r>
    </w:p>
    <w:p w14:paraId="49968595" w14:textId="69EB5476" w:rsidR="00B11E93" w:rsidRDefault="00B11E93" w:rsidP="00B11E93">
      <w:pPr>
        <w:pStyle w:val="QCABodyText"/>
      </w:pPr>
      <w:r>
        <w:t>A key strength of our project-based approach to work is that staff gain experience and knowledge across a range of industries and subject matter</w:t>
      </w:r>
      <w:r w:rsidR="00286719">
        <w:t>s</w:t>
      </w:r>
      <w:r>
        <w:t>. The capability and flexibility this approach produces allows us to meet our statutory obligations effectively and efficiently. During 2020</w:t>
      </w:r>
      <w:r w:rsidR="00BA1DA3">
        <w:t>–</w:t>
      </w:r>
      <w:r>
        <w:t xml:space="preserve">21, staff capability was further enhanced by staff participation in a range of internal and external training and development activities. These included a regulatory training course provided by Australian regulators (including the QCA), external work placements, post-graduate university studies, and </w:t>
      </w:r>
      <w:proofErr w:type="gramStart"/>
      <w:r>
        <w:t>a number of</w:t>
      </w:r>
      <w:proofErr w:type="gramEnd"/>
      <w:r>
        <w:t xml:space="preserve"> technical and professional development seminars provided in-house and by external providers.</w:t>
      </w:r>
    </w:p>
    <w:p w14:paraId="2E8F81E4" w14:textId="15A457C0" w:rsidR="00B11E93" w:rsidRDefault="00B11E93" w:rsidP="00B11E93">
      <w:pPr>
        <w:pStyle w:val="QCABodyText"/>
      </w:pPr>
      <w:r>
        <w:t>Ongoing covid-19 impacts made industry visits by QCA board members and staff more difficult to arrange during 2020</w:t>
      </w:r>
      <w:r w:rsidR="00BA1DA3">
        <w:t>–</w:t>
      </w:r>
      <w:r>
        <w:t>21, but we are hopeful of recommencing visits soon, starting with our next review of Seqwater's pricing, which commenced on 18 June 2021.</w:t>
      </w:r>
    </w:p>
    <w:p w14:paraId="5276DCB9" w14:textId="77777777" w:rsidR="00B11E93" w:rsidRDefault="00B11E93" w:rsidP="00CE0DC5">
      <w:pPr>
        <w:pStyle w:val="Heading3"/>
      </w:pPr>
      <w:r>
        <w:t>Corporate governance and financial position</w:t>
      </w:r>
    </w:p>
    <w:p w14:paraId="34FE7754" w14:textId="77777777" w:rsidR="00B11E93" w:rsidRDefault="00B11E93" w:rsidP="00B11E93">
      <w:pPr>
        <w:pStyle w:val="QCABodyText"/>
      </w:pPr>
      <w:r>
        <w:t xml:space="preserve">We remain committed to the highest standards of corporate governance. During the year we reviewed and re-set our strategy for the next four years. Our vision and purpose are to improve the prosperity of Queenslanders by making Queensland’s economy more competitive through efficient and effective economic regulation. The plan includes detailed objectives and goals that provide staff with concrete guidance for their work.  </w:t>
      </w:r>
    </w:p>
    <w:p w14:paraId="2134AE5B" w14:textId="77777777" w:rsidR="00B11E93" w:rsidRDefault="00B11E93" w:rsidP="00B11E93">
      <w:pPr>
        <w:pStyle w:val="QCABodyText"/>
      </w:pPr>
      <w:r>
        <w:t xml:space="preserve">We also reviewed a range of corporate policies, including those related to managing risk, </w:t>
      </w:r>
      <w:proofErr w:type="gramStart"/>
      <w:r>
        <w:t>information</w:t>
      </w:r>
      <w:proofErr w:type="gramEnd"/>
      <w:r>
        <w:t xml:space="preserve"> and intellectual property, of particular importance given the ongoing spread of work across the office and home. </w:t>
      </w:r>
    </w:p>
    <w:p w14:paraId="7D118E8E" w14:textId="5CC70C22" w:rsidR="00B11E93" w:rsidRDefault="00B11E93" w:rsidP="00B11E93">
      <w:pPr>
        <w:pStyle w:val="QCABodyText"/>
      </w:pPr>
      <w:r>
        <w:t>On the financial front, we reported a loss of $0.9 million for 2020</w:t>
      </w:r>
      <w:r w:rsidR="00BA1DA3">
        <w:t>–</w:t>
      </w:r>
      <w:r>
        <w:t>21, better than the budgeted loss of $1.8 million. This resulted from $0.3 million more revenue than budgeted and $0.6 million less expenditure. The lower-than-expected loss was funded by our reserve.</w:t>
      </w:r>
    </w:p>
    <w:p w14:paraId="2596D1F4" w14:textId="77777777" w:rsidR="00B11E93" w:rsidRDefault="00B11E93" w:rsidP="00CE0DC5">
      <w:pPr>
        <w:pStyle w:val="Heading3"/>
      </w:pPr>
      <w:r>
        <w:t>Our performance</w:t>
      </w:r>
    </w:p>
    <w:p w14:paraId="26013491" w14:textId="77777777" w:rsidR="00B11E93" w:rsidRDefault="00B11E93" w:rsidP="00B11E93">
      <w:pPr>
        <w:pStyle w:val="QCABodyText"/>
      </w:pPr>
      <w:r>
        <w:t xml:space="preserve">A snapshot of our performance results for 2020–21 shows that, overall, relevant key performance targets were achieved. Where we did not meet our performance targets, it was mainly due to the ongoing challenges in delivering workshops and meetings in the current environment.  </w:t>
      </w:r>
    </w:p>
    <w:p w14:paraId="427CC62A" w14:textId="5BA39438" w:rsidR="00210FDE" w:rsidRPr="00210FDE" w:rsidRDefault="00B11E93" w:rsidP="00B11E93">
      <w:pPr>
        <w:pStyle w:val="QCABodyText"/>
      </w:pPr>
      <w:r>
        <w:t>I would like to close by thanking staff for their professionalism and resilience during 2020</w:t>
      </w:r>
      <w:r w:rsidR="00BA1DA3">
        <w:t>–</w:t>
      </w:r>
      <w:r>
        <w:t xml:space="preserve">21, as the impacts of covid-19 endure for longer than we might have hoped at the start of the year. Staff have not only maintained high quality and timely work, </w:t>
      </w:r>
      <w:proofErr w:type="gramStart"/>
      <w:r>
        <w:t>they have</w:t>
      </w:r>
      <w:proofErr w:type="gramEnd"/>
      <w:r>
        <w:t xml:space="preserve"> seized opportunities for training and development, which sets us up well for coming years. I would also like to thank our board members for their expertise and constructive support and guidance over the past year.</w:t>
      </w:r>
    </w:p>
    <w:p w14:paraId="743F9849" w14:textId="0C0C3354" w:rsidR="00290C12" w:rsidRPr="00E1645E" w:rsidRDefault="007B3426" w:rsidP="00927C3A">
      <w:pPr>
        <w:pStyle w:val="Heading3-brown"/>
        <w:rPr>
          <w:rStyle w:val="QCABold"/>
          <w:b w:val="0"/>
        </w:rPr>
      </w:pPr>
      <w:r w:rsidRPr="00E1645E">
        <w:rPr>
          <w:rStyle w:val="QCABold"/>
          <w:b w:val="0"/>
          <w:caps w:val="0"/>
          <w:sz w:val="22"/>
          <w:szCs w:val="22"/>
        </w:rPr>
        <w:t xml:space="preserve">Chief Executive Officer </w:t>
      </w:r>
    </w:p>
    <w:p w14:paraId="0E2D2040" w14:textId="621CDEE8" w:rsidR="00FA4C5C" w:rsidRDefault="00C85C46" w:rsidP="00273B81">
      <w:pPr>
        <w:pStyle w:val="HEADING3b"/>
        <w:rPr>
          <w:color w:val="7F7F7F" w:themeColor="text1" w:themeTint="80"/>
        </w:rPr>
      </w:pPr>
      <w:r w:rsidRPr="005D1D1D">
        <w:rPr>
          <w:rStyle w:val="QCABold"/>
          <w:b w:val="0"/>
        </w:rPr>
        <w:t>Charles Millsteed</w:t>
      </w:r>
    </w:p>
    <w:p w14:paraId="6ADE6463" w14:textId="1F0F6968" w:rsidR="009968BE" w:rsidRDefault="009968BE">
      <w:pPr>
        <w:spacing w:before="0" w:after="160" w:line="259" w:lineRule="auto"/>
        <w:rPr>
          <w:color w:val="7F7F7F" w:themeColor="text1" w:themeTint="80"/>
        </w:rPr>
      </w:pPr>
    </w:p>
    <w:p w14:paraId="2D4B79DF" w14:textId="438F379A" w:rsidR="00350BE7" w:rsidRDefault="00350BE7">
      <w:pPr>
        <w:spacing w:before="0" w:after="160" w:line="259" w:lineRule="auto"/>
        <w:rPr>
          <w:color w:val="7F7F7F" w:themeColor="text1" w:themeTint="80"/>
        </w:rPr>
      </w:pPr>
    </w:p>
    <w:p w14:paraId="22E5F9C8" w14:textId="77777777" w:rsidR="009968BE" w:rsidRPr="00E05D30" w:rsidRDefault="009968BE" w:rsidP="00A61E0F">
      <w:pPr>
        <w:pStyle w:val="QCABodyText"/>
        <w:rPr>
          <w:color w:val="7F7F7F" w:themeColor="text1" w:themeTint="80"/>
        </w:rPr>
        <w:sectPr w:rsidR="009968BE" w:rsidRPr="00E05D30" w:rsidSect="004058E9">
          <w:type w:val="continuous"/>
          <w:pgSz w:w="11907" w:h="16840" w:code="9"/>
          <w:pgMar w:top="1361" w:right="851" w:bottom="1814" w:left="1843" w:header="284" w:footer="170" w:gutter="0"/>
          <w:cols w:space="708"/>
          <w:docGrid w:linePitch="360"/>
        </w:sectPr>
      </w:pPr>
    </w:p>
    <w:p w14:paraId="743AEF5E" w14:textId="01EEA3E8" w:rsidR="00CA7A64" w:rsidRDefault="00CA7A64">
      <w:pPr>
        <w:spacing w:before="0" w:after="160" w:line="259" w:lineRule="auto"/>
        <w:rPr>
          <w:i/>
          <w:iCs/>
          <w:color w:val="000000" w:themeColor="text1"/>
        </w:rPr>
      </w:pPr>
      <w:r>
        <w:rPr>
          <w:i/>
          <w:iCs/>
          <w:color w:val="000000" w:themeColor="text1"/>
        </w:rPr>
        <w:lastRenderedPageBreak/>
        <w:br w:type="page"/>
      </w:r>
    </w:p>
    <w:p w14:paraId="3B129B0E" w14:textId="77777777" w:rsidR="009968BE" w:rsidRDefault="009968BE">
      <w:pPr>
        <w:spacing w:before="0" w:after="160" w:line="259" w:lineRule="auto"/>
        <w:rPr>
          <w:i/>
          <w:iCs/>
          <w:color w:val="000000" w:themeColor="text1"/>
        </w:rPr>
      </w:pPr>
    </w:p>
    <w:p w14:paraId="2624CCCC" w14:textId="77777777" w:rsidR="003365B0" w:rsidRDefault="003365B0" w:rsidP="00F653F7">
      <w:pPr>
        <w:pStyle w:val="Quote"/>
      </w:pPr>
    </w:p>
    <w:p w14:paraId="13FDEB3A" w14:textId="7FEED66D" w:rsidR="003365B0" w:rsidRDefault="003365B0" w:rsidP="00F653F7">
      <w:pPr>
        <w:pStyle w:val="Quote"/>
      </w:pPr>
    </w:p>
    <w:p w14:paraId="0F35D023" w14:textId="77777777" w:rsidR="00F653F7" w:rsidRPr="00F653F7" w:rsidRDefault="00F653F7" w:rsidP="00F653F7"/>
    <w:p w14:paraId="1E7E8DCF" w14:textId="77777777" w:rsidR="003365B0" w:rsidRDefault="003365B0" w:rsidP="00F653F7">
      <w:pPr>
        <w:pStyle w:val="Quote"/>
      </w:pPr>
    </w:p>
    <w:p w14:paraId="7812EF6D" w14:textId="77777777" w:rsidR="00571762" w:rsidRDefault="00571762" w:rsidP="00571762"/>
    <w:p w14:paraId="09780F67" w14:textId="77777777" w:rsidR="00571762" w:rsidRDefault="00571762" w:rsidP="00571762"/>
    <w:p w14:paraId="5DF39DFC" w14:textId="77777777" w:rsidR="00571762" w:rsidRDefault="00571762" w:rsidP="00571762"/>
    <w:p w14:paraId="6600B5E5" w14:textId="77777777" w:rsidR="00571762" w:rsidRDefault="00571762" w:rsidP="00571762"/>
    <w:p w14:paraId="444EFADE" w14:textId="77777777" w:rsidR="00571762" w:rsidRDefault="00571762" w:rsidP="00571762"/>
    <w:p w14:paraId="24FAE6F9" w14:textId="77777777" w:rsidR="00571762" w:rsidRDefault="00571762" w:rsidP="00571762"/>
    <w:p w14:paraId="487BAD82" w14:textId="77777777" w:rsidR="00571762" w:rsidRDefault="00571762" w:rsidP="00571762"/>
    <w:p w14:paraId="4BBC1FE7" w14:textId="77777777" w:rsidR="00571762" w:rsidRDefault="00571762" w:rsidP="00571762"/>
    <w:p w14:paraId="0B20CC4B" w14:textId="77777777" w:rsidR="00571762" w:rsidRDefault="00571762" w:rsidP="00571762"/>
    <w:p w14:paraId="044A17E4" w14:textId="77777777" w:rsidR="00571762" w:rsidRDefault="00571762" w:rsidP="00571762"/>
    <w:p w14:paraId="2983339C" w14:textId="77777777" w:rsidR="00586C20" w:rsidRDefault="00586C20" w:rsidP="00571762"/>
    <w:p w14:paraId="295FC0D7" w14:textId="77777777" w:rsidR="00571762" w:rsidRDefault="00571762" w:rsidP="00571762"/>
    <w:p w14:paraId="5975B16D" w14:textId="77777777" w:rsidR="00571762" w:rsidRDefault="00571762" w:rsidP="00571762"/>
    <w:p w14:paraId="13247AB7" w14:textId="77777777" w:rsidR="00571762" w:rsidRPr="00571762" w:rsidRDefault="00571762" w:rsidP="00571762"/>
    <w:p w14:paraId="79848955" w14:textId="77194835" w:rsidR="00C35F5E" w:rsidRPr="00731D6C" w:rsidRDefault="00A221DE" w:rsidP="00FA669D">
      <w:pPr>
        <w:pStyle w:val="Heading1"/>
        <w:pBdr>
          <w:bottom w:val="none" w:sz="0" w:space="0" w:color="auto"/>
        </w:pBdr>
        <w:ind w:right="-993"/>
        <w:rPr>
          <w:sz w:val="96"/>
          <w:szCs w:val="96"/>
        </w:rPr>
      </w:pPr>
      <w:bookmarkStart w:id="83" w:name="_Toc80792949"/>
      <w:r>
        <w:rPr>
          <w:sz w:val="96"/>
          <w:szCs w:val="96"/>
        </w:rPr>
        <w:t>P</w:t>
      </w:r>
      <w:r w:rsidR="00B55CC9">
        <w:rPr>
          <w:sz w:val="96"/>
          <w:szCs w:val="96"/>
        </w:rPr>
        <w:t xml:space="preserve">rojects </w:t>
      </w:r>
      <w:r>
        <w:rPr>
          <w:sz w:val="96"/>
          <w:szCs w:val="96"/>
        </w:rPr>
        <w:t xml:space="preserve">in </w:t>
      </w:r>
      <w:r w:rsidR="00B55CC9">
        <w:rPr>
          <w:sz w:val="96"/>
          <w:szCs w:val="96"/>
        </w:rPr>
        <w:t>20</w:t>
      </w:r>
      <w:r w:rsidR="0096382F">
        <w:rPr>
          <w:sz w:val="96"/>
          <w:szCs w:val="96"/>
        </w:rPr>
        <w:t>20</w:t>
      </w:r>
      <w:r w:rsidR="00B55CC9">
        <w:rPr>
          <w:sz w:val="96"/>
          <w:szCs w:val="96"/>
        </w:rPr>
        <w:t>–2</w:t>
      </w:r>
      <w:r w:rsidR="0096382F">
        <w:rPr>
          <w:sz w:val="96"/>
          <w:szCs w:val="96"/>
        </w:rPr>
        <w:t>1</w:t>
      </w:r>
      <w:bookmarkEnd w:id="83"/>
    </w:p>
    <w:p w14:paraId="6C956D53" w14:textId="17FC8C6D" w:rsidR="00872358" w:rsidRPr="00F64DB8" w:rsidRDefault="00B42550" w:rsidP="00731D6C">
      <w:pPr>
        <w:pStyle w:val="Heading1"/>
        <w:pBdr>
          <w:bottom w:val="single" w:sz="4" w:space="1" w:color="auto"/>
        </w:pBdr>
      </w:pPr>
      <w:r>
        <w:br w:type="page"/>
      </w:r>
      <w:bookmarkStart w:id="84" w:name="_Toc47689674"/>
      <w:bookmarkStart w:id="85" w:name="_Toc48117198"/>
      <w:bookmarkStart w:id="86" w:name="_Toc48119589"/>
      <w:bookmarkStart w:id="87" w:name="_Toc50103770"/>
      <w:bookmarkStart w:id="88" w:name="_Toc78532827"/>
      <w:bookmarkStart w:id="89" w:name="_Toc79506688"/>
      <w:bookmarkStart w:id="90" w:name="_Toc79657593"/>
      <w:bookmarkStart w:id="91" w:name="_Toc80792950"/>
      <w:bookmarkStart w:id="92" w:name="_Toc424722423"/>
      <w:bookmarkStart w:id="93" w:name="_Toc424722721"/>
      <w:bookmarkStart w:id="94" w:name="_Toc424823636"/>
      <w:bookmarkStart w:id="95" w:name="_Toc426446978"/>
      <w:bookmarkStart w:id="96" w:name="_Toc426447174"/>
      <w:bookmarkStart w:id="97" w:name="_Toc426450217"/>
      <w:bookmarkStart w:id="98" w:name="_Toc426538285"/>
      <w:bookmarkStart w:id="99" w:name="_Toc426985841"/>
      <w:bookmarkStart w:id="100" w:name="_Toc427050808"/>
      <w:bookmarkStart w:id="101" w:name="_Toc428256743"/>
      <w:bookmarkStart w:id="102" w:name="_Toc456357660"/>
      <w:bookmarkStart w:id="103" w:name="_Toc456700114"/>
      <w:bookmarkStart w:id="104" w:name="_Toc487623475"/>
      <w:bookmarkStart w:id="105" w:name="_Toc520281754"/>
      <w:bookmarkStart w:id="106" w:name="_Toc520282148"/>
      <w:bookmarkStart w:id="107" w:name="_Toc487611733"/>
      <w:bookmarkStart w:id="108" w:name="_Toc487614506"/>
      <w:bookmarkStart w:id="109" w:name="_Toc14439666"/>
      <w:bookmarkStart w:id="110" w:name="_Toc15640688"/>
      <w:bookmarkStart w:id="111" w:name="_Toc46830672"/>
      <w:bookmarkStart w:id="112" w:name="_Toc47088879"/>
      <w:bookmarkStart w:id="113" w:name="_Toc47347943"/>
      <w:bookmarkStart w:id="114" w:name="_Toc47689420"/>
      <w:r w:rsidR="00872358" w:rsidRPr="00F64DB8">
        <w:lastRenderedPageBreak/>
        <w:t>Overvie</w:t>
      </w:r>
      <w:r w:rsidR="008E5112" w:rsidRPr="00F64DB8">
        <w:t>w</w:t>
      </w:r>
      <w:bookmarkEnd w:id="84"/>
      <w:bookmarkEnd w:id="85"/>
      <w:bookmarkEnd w:id="86"/>
      <w:bookmarkEnd w:id="87"/>
      <w:bookmarkEnd w:id="88"/>
      <w:bookmarkEnd w:id="89"/>
      <w:bookmarkEnd w:id="90"/>
      <w:bookmarkEnd w:id="91"/>
      <w:r w:rsidR="008E5112" w:rsidRPr="00F64DB8">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CAD8223" w14:textId="77777777" w:rsidR="002F5472" w:rsidRDefault="002F5472" w:rsidP="00586C20">
      <w:pPr>
        <w:pStyle w:val="QCABodyText"/>
        <w:rPr>
          <w:i/>
        </w:rPr>
        <w:sectPr w:rsidR="002F5472" w:rsidSect="004058E9">
          <w:pgSz w:w="11907" w:h="16840" w:code="9"/>
          <w:pgMar w:top="1361" w:right="851" w:bottom="1814" w:left="1276" w:header="284" w:footer="170" w:gutter="0"/>
          <w:cols w:space="708"/>
          <w:docGrid w:linePitch="360"/>
        </w:sectPr>
      </w:pPr>
    </w:p>
    <w:p w14:paraId="3B8FF546" w14:textId="7DCF8946" w:rsidR="00D76973" w:rsidRPr="00713B9B" w:rsidRDefault="002559AE" w:rsidP="00586C20">
      <w:pPr>
        <w:pStyle w:val="QCABodyText"/>
        <w:rPr>
          <w:iCs/>
        </w:rPr>
      </w:pPr>
      <w:r w:rsidRPr="00713B9B">
        <w:rPr>
          <w:iCs/>
        </w:rPr>
        <w:t>The QCA</w:t>
      </w:r>
      <w:r w:rsidR="00DF30ED" w:rsidRPr="00713B9B">
        <w:rPr>
          <w:iCs/>
        </w:rPr>
        <w:t>’s role</w:t>
      </w:r>
      <w:r w:rsidR="00616EC7">
        <w:rPr>
          <w:iCs/>
        </w:rPr>
        <w:t xml:space="preserve"> involves</w:t>
      </w:r>
      <w:r w:rsidR="00D76973" w:rsidRPr="00713B9B">
        <w:rPr>
          <w:iCs/>
        </w:rPr>
        <w:t>:</w:t>
      </w:r>
    </w:p>
    <w:p w14:paraId="1CC15C78" w14:textId="25489757" w:rsidR="00D76973" w:rsidRPr="00713B9B" w:rsidRDefault="00D76973" w:rsidP="00B55CC9">
      <w:pPr>
        <w:pStyle w:val="QCABullet"/>
        <w:ind w:left="357" w:hanging="357"/>
        <w:rPr>
          <w:iCs/>
        </w:rPr>
      </w:pPr>
      <w:r w:rsidRPr="00713B9B">
        <w:rPr>
          <w:iCs/>
        </w:rPr>
        <w:t xml:space="preserve">determining </w:t>
      </w:r>
      <w:r w:rsidR="006731AF" w:rsidRPr="00713B9B">
        <w:rPr>
          <w:iCs/>
        </w:rPr>
        <w:t xml:space="preserve">and recommending </w:t>
      </w:r>
      <w:r w:rsidRPr="00713B9B">
        <w:rPr>
          <w:iCs/>
        </w:rPr>
        <w:t>prices</w:t>
      </w:r>
    </w:p>
    <w:p w14:paraId="4105197F" w14:textId="7E8518F3" w:rsidR="00D76973" w:rsidRPr="00713B9B" w:rsidRDefault="00E218DC" w:rsidP="00B55CC9">
      <w:pPr>
        <w:pStyle w:val="QCABullet"/>
        <w:ind w:left="357" w:hanging="357"/>
        <w:rPr>
          <w:iCs/>
        </w:rPr>
      </w:pPr>
      <w:r w:rsidRPr="00713B9B">
        <w:rPr>
          <w:iCs/>
        </w:rPr>
        <w:t>monitoring</w:t>
      </w:r>
      <w:r w:rsidR="00C94654" w:rsidRPr="00713B9B">
        <w:rPr>
          <w:iCs/>
        </w:rPr>
        <w:t xml:space="preserve"> </w:t>
      </w:r>
      <w:r w:rsidR="00D76973" w:rsidRPr="00713B9B">
        <w:rPr>
          <w:iCs/>
        </w:rPr>
        <w:t>price</w:t>
      </w:r>
      <w:r w:rsidR="00C94654" w:rsidRPr="00713B9B">
        <w:rPr>
          <w:iCs/>
        </w:rPr>
        <w:t>s</w:t>
      </w:r>
      <w:r w:rsidR="00D76973" w:rsidRPr="00713B9B">
        <w:rPr>
          <w:iCs/>
        </w:rPr>
        <w:t xml:space="preserve"> </w:t>
      </w:r>
      <w:r w:rsidR="006731AF" w:rsidRPr="00713B9B">
        <w:rPr>
          <w:iCs/>
        </w:rPr>
        <w:t>and service</w:t>
      </w:r>
      <w:r w:rsidR="00C94654" w:rsidRPr="00713B9B">
        <w:rPr>
          <w:iCs/>
        </w:rPr>
        <w:t>s</w:t>
      </w:r>
      <w:r w:rsidR="006731AF" w:rsidRPr="00713B9B">
        <w:rPr>
          <w:iCs/>
        </w:rPr>
        <w:t xml:space="preserve"> </w:t>
      </w:r>
    </w:p>
    <w:p w14:paraId="6FAB66B5" w14:textId="14A1FB53" w:rsidR="002A290F" w:rsidRDefault="00C94654" w:rsidP="002A290F">
      <w:pPr>
        <w:pStyle w:val="QCABullet"/>
        <w:ind w:left="357" w:hanging="357"/>
        <w:rPr>
          <w:iCs/>
        </w:rPr>
      </w:pPr>
      <w:r w:rsidRPr="00713B9B">
        <w:rPr>
          <w:iCs/>
        </w:rPr>
        <w:t>oversee</w:t>
      </w:r>
      <w:r w:rsidR="00E218DC" w:rsidRPr="00713B9B">
        <w:rPr>
          <w:iCs/>
        </w:rPr>
        <w:t>ing</w:t>
      </w:r>
      <w:r w:rsidRPr="00713B9B">
        <w:rPr>
          <w:iCs/>
        </w:rPr>
        <w:t xml:space="preserve"> </w:t>
      </w:r>
      <w:r w:rsidR="00D76973" w:rsidRPr="00713B9B">
        <w:rPr>
          <w:iCs/>
        </w:rPr>
        <w:t>access regulatio</w:t>
      </w:r>
      <w:r w:rsidRPr="00713B9B">
        <w:rPr>
          <w:iCs/>
        </w:rPr>
        <w:t>n</w:t>
      </w:r>
      <w:r w:rsidR="00616EC7">
        <w:rPr>
          <w:iCs/>
        </w:rPr>
        <w:t>.</w:t>
      </w:r>
    </w:p>
    <w:p w14:paraId="472C49B0" w14:textId="0CE6D8D6" w:rsidR="00B74B70" w:rsidRDefault="00B74B70" w:rsidP="00F557CB">
      <w:pPr>
        <w:pStyle w:val="BodyText"/>
      </w:pPr>
      <w:r>
        <w:t>Our vision is</w:t>
      </w:r>
      <w:r w:rsidR="00BD7811">
        <w:t xml:space="preserve"> to</w:t>
      </w:r>
      <w:r>
        <w:t xml:space="preserve"> improv</w:t>
      </w:r>
      <w:r w:rsidR="00BD7811">
        <w:t>e</w:t>
      </w:r>
      <w:r>
        <w:t xml:space="preserve"> the prosperity of Queenslanders</w:t>
      </w:r>
      <w:r w:rsidR="00BD7811">
        <w:t>,</w:t>
      </w:r>
      <w:r>
        <w:t xml:space="preserve"> and our purpose is </w:t>
      </w:r>
      <w:r w:rsidR="00BD7811">
        <w:t xml:space="preserve">to </w:t>
      </w:r>
      <w:r>
        <w:t>mak</w:t>
      </w:r>
      <w:r w:rsidR="00BD7811">
        <w:t>e</w:t>
      </w:r>
      <w:r>
        <w:t xml:space="preserve"> Queensland’s economy more competitive through efficient and effective economic regulation.</w:t>
      </w:r>
    </w:p>
    <w:p w14:paraId="35721A17" w14:textId="58C3E2B1" w:rsidR="002A290F" w:rsidRDefault="002A290F" w:rsidP="002A290F">
      <w:pPr>
        <w:pStyle w:val="QCABodyText"/>
      </w:pPr>
      <w:r>
        <w:t xml:space="preserve">We conduct all our investigations and reviews in line with the </w:t>
      </w:r>
      <w:r w:rsidR="00616EC7">
        <w:t xml:space="preserve">four </w:t>
      </w:r>
      <w:r>
        <w:t>objectives of our strategic plan</w:t>
      </w:r>
      <w:r w:rsidR="00B74B70">
        <w:t>:</w:t>
      </w:r>
    </w:p>
    <w:p w14:paraId="721F4C18" w14:textId="6DDC8BE5" w:rsidR="002A290F" w:rsidRDefault="00616EC7" w:rsidP="002A290F">
      <w:pPr>
        <w:pStyle w:val="QCABullet"/>
        <w:ind w:left="357" w:hanging="357"/>
        <w:rPr>
          <w:iCs/>
        </w:rPr>
      </w:pPr>
      <w:r>
        <w:rPr>
          <w:iCs/>
        </w:rPr>
        <w:t>O</w:t>
      </w:r>
      <w:r w:rsidR="002A290F">
        <w:rPr>
          <w:iCs/>
        </w:rPr>
        <w:t>ptimise regulatory frameworks</w:t>
      </w:r>
      <w:r>
        <w:rPr>
          <w:iCs/>
        </w:rPr>
        <w:t>.</w:t>
      </w:r>
    </w:p>
    <w:p w14:paraId="4EEBC940" w14:textId="40EFCA1A" w:rsidR="002A290F" w:rsidRDefault="00616EC7" w:rsidP="002A290F">
      <w:pPr>
        <w:pStyle w:val="QCABullet"/>
        <w:ind w:left="357" w:hanging="357"/>
        <w:rPr>
          <w:iCs/>
        </w:rPr>
      </w:pPr>
      <w:r>
        <w:rPr>
          <w:iCs/>
        </w:rPr>
        <w:t>M</w:t>
      </w:r>
      <w:r w:rsidR="002A290F">
        <w:rPr>
          <w:iCs/>
        </w:rPr>
        <w:t xml:space="preserve">ake unbiased, </w:t>
      </w:r>
      <w:proofErr w:type="gramStart"/>
      <w:r w:rsidR="002A290F">
        <w:rPr>
          <w:iCs/>
        </w:rPr>
        <w:t>transparent</w:t>
      </w:r>
      <w:proofErr w:type="gramEnd"/>
      <w:r w:rsidR="002A290F">
        <w:rPr>
          <w:iCs/>
        </w:rPr>
        <w:t xml:space="preserve"> and robust decisions</w:t>
      </w:r>
      <w:r>
        <w:rPr>
          <w:iCs/>
        </w:rPr>
        <w:t>.</w:t>
      </w:r>
    </w:p>
    <w:p w14:paraId="54011696" w14:textId="4A290F4D" w:rsidR="002A290F" w:rsidRDefault="00616EC7" w:rsidP="002A290F">
      <w:pPr>
        <w:pStyle w:val="QCABullet"/>
        <w:ind w:left="357" w:hanging="357"/>
        <w:rPr>
          <w:iCs/>
        </w:rPr>
      </w:pPr>
      <w:r>
        <w:rPr>
          <w:iCs/>
        </w:rPr>
        <w:t>P</w:t>
      </w:r>
      <w:r w:rsidR="002A290F">
        <w:rPr>
          <w:iCs/>
        </w:rPr>
        <w:t>romote understanding and engagement</w:t>
      </w:r>
      <w:r>
        <w:rPr>
          <w:iCs/>
        </w:rPr>
        <w:t>.</w:t>
      </w:r>
    </w:p>
    <w:p w14:paraId="25920E01" w14:textId="243CDE3B" w:rsidR="002A290F" w:rsidRPr="002A290F" w:rsidRDefault="00616EC7" w:rsidP="002A290F">
      <w:pPr>
        <w:pStyle w:val="QCABullet"/>
        <w:ind w:left="357" w:hanging="357"/>
        <w:rPr>
          <w:iCs/>
        </w:rPr>
      </w:pPr>
      <w:r>
        <w:rPr>
          <w:iCs/>
        </w:rPr>
        <w:t>E</w:t>
      </w:r>
      <w:r w:rsidR="002A290F">
        <w:rPr>
          <w:iCs/>
        </w:rPr>
        <w:t xml:space="preserve">nable efficient, </w:t>
      </w:r>
      <w:proofErr w:type="gramStart"/>
      <w:r w:rsidR="002A290F">
        <w:rPr>
          <w:iCs/>
        </w:rPr>
        <w:t>flexible</w:t>
      </w:r>
      <w:proofErr w:type="gramEnd"/>
      <w:r w:rsidR="002A290F">
        <w:rPr>
          <w:iCs/>
        </w:rPr>
        <w:t xml:space="preserve"> and expert resourcing</w:t>
      </w:r>
      <w:r>
        <w:rPr>
          <w:iCs/>
        </w:rPr>
        <w:t>.</w:t>
      </w:r>
    </w:p>
    <w:p w14:paraId="08D430EC" w14:textId="678A0E60" w:rsidR="002F5472" w:rsidRDefault="00B74B70" w:rsidP="00F557CB">
      <w:pPr>
        <w:pStyle w:val="BodyText"/>
      </w:pPr>
      <w:r>
        <w:t xml:space="preserve">We contribute to the Queensland Government’s objectives of </w:t>
      </w:r>
      <w:r w:rsidRPr="00F557CB">
        <w:rPr>
          <w:iCs/>
        </w:rPr>
        <w:t>growing our regions</w:t>
      </w:r>
      <w:r w:rsidRPr="00C04FC0">
        <w:t xml:space="preserve">, </w:t>
      </w:r>
      <w:r w:rsidRPr="00F557CB">
        <w:rPr>
          <w:iCs/>
        </w:rPr>
        <w:t xml:space="preserve">building </w:t>
      </w:r>
      <w:proofErr w:type="gramStart"/>
      <w:r w:rsidRPr="00F557CB">
        <w:rPr>
          <w:iCs/>
        </w:rPr>
        <w:t>Queensland</w:t>
      </w:r>
      <w:proofErr w:type="gramEnd"/>
      <w:r w:rsidRPr="00C04FC0">
        <w:t xml:space="preserve"> and </w:t>
      </w:r>
      <w:r w:rsidRPr="00F557CB">
        <w:rPr>
          <w:iCs/>
        </w:rPr>
        <w:t>supporting jobs</w:t>
      </w:r>
      <w:r>
        <w:t>.</w:t>
      </w:r>
    </w:p>
    <w:p w14:paraId="56CFBFC8" w14:textId="5B3CB384" w:rsidR="00093237" w:rsidRPr="00F271CA" w:rsidRDefault="002C30D4" w:rsidP="00F557CB">
      <w:pPr>
        <w:pStyle w:val="Heading2"/>
        <w:spacing w:before="160"/>
      </w:pPr>
      <w:bookmarkStart w:id="115" w:name="_Toc487614507"/>
      <w:bookmarkStart w:id="116" w:name="_Toc520282149"/>
      <w:bookmarkStart w:id="117" w:name="_Toc80792951"/>
      <w:r w:rsidRPr="00E90BAF">
        <w:t>R</w:t>
      </w:r>
      <w:r w:rsidR="00C246D0" w:rsidRPr="00E90BAF">
        <w:t xml:space="preserve">etail </w:t>
      </w:r>
      <w:r w:rsidR="00750962" w:rsidRPr="00E90BAF">
        <w:t>e</w:t>
      </w:r>
      <w:r w:rsidR="00C246D0" w:rsidRPr="00E90BAF">
        <w:t xml:space="preserve">lectricity </w:t>
      </w:r>
      <w:r w:rsidR="00750962" w:rsidRPr="00957102">
        <w:t>p</w:t>
      </w:r>
      <w:r w:rsidR="00C246D0" w:rsidRPr="00957102">
        <w:t xml:space="preserve">rices </w:t>
      </w:r>
      <w:bookmarkEnd w:id="115"/>
      <w:r w:rsidR="00C56B39" w:rsidRPr="00957102">
        <w:t>20</w:t>
      </w:r>
      <w:bookmarkEnd w:id="116"/>
      <w:r w:rsidR="0094230A" w:rsidRPr="00957102">
        <w:t>20–21</w:t>
      </w:r>
      <w:r w:rsidR="00616EC7">
        <w:t>:</w:t>
      </w:r>
      <w:r w:rsidR="00724AA2" w:rsidRPr="00957102">
        <w:t xml:space="preserve"> supplementary tariffs</w:t>
      </w:r>
      <w:bookmarkEnd w:id="117"/>
    </w:p>
    <w:p w14:paraId="149A0C2D" w14:textId="516A25F3" w:rsidR="00602CE0" w:rsidRDefault="00724AA2" w:rsidP="00273B81">
      <w:pPr>
        <w:pStyle w:val="QCABodyText"/>
      </w:pPr>
      <w:r>
        <w:t xml:space="preserve">On 24 June 2020, we received a delegation from the Minister for Natural Resources, Mines and Energy to set three new electricity (load control) retail tariffs for 2020–21. The new tariffs applied from 1 November 2020 and supplemented the existing suite of </w:t>
      </w:r>
      <w:r w:rsidR="00A97EBB">
        <w:t>regulated</w:t>
      </w:r>
      <w:r>
        <w:t xml:space="preserve"> </w:t>
      </w:r>
      <w:r w:rsidR="00A97EBB">
        <w:t>tariffs</w:t>
      </w:r>
      <w:r>
        <w:t xml:space="preserve"> for customers in regional Queensland in 2020–21.</w:t>
      </w:r>
    </w:p>
    <w:p w14:paraId="5E8BE044" w14:textId="42BFC7BD" w:rsidR="00724AA2" w:rsidRDefault="00724AA2" w:rsidP="00273B81">
      <w:pPr>
        <w:pStyle w:val="QCABodyText"/>
      </w:pPr>
      <w:r>
        <w:t>On 29 June 2020, we published a stakeholder notice with further information, including an initial consultation timetable with key project milestones.</w:t>
      </w:r>
    </w:p>
    <w:p w14:paraId="65E5F9CC" w14:textId="6063A2F8" w:rsidR="00724AA2" w:rsidRDefault="00724AA2" w:rsidP="00273B81">
      <w:pPr>
        <w:pStyle w:val="QCABodyText"/>
      </w:pPr>
      <w:r>
        <w:t>On 3 August 2020, we received a delegation from the Minister to set eight additional retail tariffs for 2020–21. The new tariffs applied from 1 January 2021</w:t>
      </w:r>
      <w:r w:rsidR="00E90BAF">
        <w:t xml:space="preserve"> and supplement</w:t>
      </w:r>
      <w:r w:rsidR="00616EC7">
        <w:t>ed</w:t>
      </w:r>
      <w:r w:rsidR="00E90BAF">
        <w:t xml:space="preserve"> the existing suite of tariffs for 2020–21</w:t>
      </w:r>
      <w:r>
        <w:t>.</w:t>
      </w:r>
    </w:p>
    <w:p w14:paraId="787AE11F" w14:textId="4A823D60" w:rsidR="00724AA2" w:rsidRPr="00602CE0" w:rsidRDefault="00724AA2" w:rsidP="00273B81">
      <w:pPr>
        <w:pStyle w:val="QCABodyText"/>
      </w:pPr>
      <w:r>
        <w:t>Given the timeframes, we combined the review of the new load control tariffs with the review to set eight additional retail tariffs.</w:t>
      </w:r>
    </w:p>
    <w:p w14:paraId="67F1C47D" w14:textId="703EB603" w:rsidR="00E55E3B" w:rsidRDefault="00724AA2" w:rsidP="003F3C85">
      <w:pPr>
        <w:pStyle w:val="QCABodyText"/>
      </w:pPr>
      <w:r>
        <w:t>On 25 August 2020, we published our draft determination on the supplem</w:t>
      </w:r>
      <w:r w:rsidR="00B87FE6">
        <w:t xml:space="preserve">entary </w:t>
      </w:r>
      <w:r w:rsidR="00A97EBB">
        <w:t>tariffs</w:t>
      </w:r>
      <w:r w:rsidR="00B87FE6">
        <w:t xml:space="preserve"> for 2020–21. We received </w:t>
      </w:r>
      <w:r w:rsidR="00336B8D">
        <w:t xml:space="preserve">four </w:t>
      </w:r>
      <w:r w:rsidR="00B87FE6">
        <w:t>submissions in response to the draft determination.</w:t>
      </w:r>
    </w:p>
    <w:p w14:paraId="644C522A" w14:textId="23B6E6D8" w:rsidR="00B87FE6" w:rsidRDefault="00B87FE6" w:rsidP="003F3C85">
      <w:pPr>
        <w:pStyle w:val="QCABodyText"/>
      </w:pPr>
      <w:r>
        <w:t xml:space="preserve">On 16 October 2020, we published our final determination, </w:t>
      </w:r>
      <w:r w:rsidR="00E90BAF">
        <w:t>introducing the following tariffs:</w:t>
      </w:r>
    </w:p>
    <w:p w14:paraId="5E16275D" w14:textId="0BFBC81C" w:rsidR="00E90BAF" w:rsidRDefault="00E90BAF" w:rsidP="00E90BAF">
      <w:pPr>
        <w:pStyle w:val="QCABullet"/>
        <w:ind w:left="426" w:hanging="426"/>
      </w:pPr>
      <w:r>
        <w:t>three new load control tariffs (which commenced on 1 November 2020)</w:t>
      </w:r>
    </w:p>
    <w:p w14:paraId="6BA0FD32" w14:textId="53F6CD6E" w:rsidR="00E90BAF" w:rsidRDefault="00E90BAF" w:rsidP="00CA7A64">
      <w:pPr>
        <w:pStyle w:val="QCABullet"/>
        <w:ind w:left="426" w:hanging="426"/>
      </w:pPr>
      <w:r>
        <w:t>eight additional retail tariffs (which commenced on 1 January 2021).</w:t>
      </w:r>
    </w:p>
    <w:p w14:paraId="2AFBC3CC" w14:textId="5A72D692" w:rsidR="00724AA2" w:rsidRDefault="00724AA2" w:rsidP="00241A24">
      <w:pPr>
        <w:pStyle w:val="Heading2"/>
      </w:pPr>
      <w:bookmarkStart w:id="118" w:name="_Toc80792952"/>
      <w:r w:rsidRPr="00E90BAF">
        <w:t>Retail electricity prices 202</w:t>
      </w:r>
      <w:r w:rsidR="0072610A">
        <w:t>1</w:t>
      </w:r>
      <w:r w:rsidRPr="00E90BAF">
        <w:t>–2</w:t>
      </w:r>
      <w:r w:rsidR="0072610A">
        <w:t>2</w:t>
      </w:r>
      <w:bookmarkEnd w:id="118"/>
    </w:p>
    <w:p w14:paraId="0F008CCF" w14:textId="1EE91BEC" w:rsidR="00E90BAF" w:rsidRDefault="00E90BAF" w:rsidP="00E90BAF">
      <w:pPr>
        <w:pStyle w:val="BodyText"/>
      </w:pPr>
      <w:bookmarkStart w:id="119" w:name="_Hlk75947281"/>
      <w:r>
        <w:t>In January 2021, we received a delegation from the Minister for Energy, Renewables and Hydrogen to set retail electricity prices to apply in regional Queensland in 2021–22.</w:t>
      </w:r>
    </w:p>
    <w:p w14:paraId="2326A4F0" w14:textId="03D8890B" w:rsidR="00E90BAF" w:rsidRDefault="00E90BAF" w:rsidP="00F557CB">
      <w:pPr>
        <w:pStyle w:val="BodyText"/>
        <w:spacing w:after="28"/>
      </w:pPr>
      <w:r>
        <w:t>As part of the review, we published</w:t>
      </w:r>
      <w:r w:rsidR="00616EC7">
        <w:t>:</w:t>
      </w:r>
    </w:p>
    <w:p w14:paraId="1C9251F6" w14:textId="5538834E" w:rsidR="00E90BAF" w:rsidRDefault="00E90BAF" w:rsidP="00241A24">
      <w:pPr>
        <w:pStyle w:val="QCABullet"/>
        <w:ind w:left="426" w:hanging="426"/>
      </w:pPr>
      <w:r w:rsidRPr="00E90BAF">
        <w:t xml:space="preserve">an interim consultation paper in January 2021, in which we invited stakeholders to comment on key issues. We received </w:t>
      </w:r>
      <w:r w:rsidR="00336B8D">
        <w:t>six</w:t>
      </w:r>
      <w:r w:rsidR="00336B8D" w:rsidRPr="00C05E83">
        <w:t xml:space="preserve"> </w:t>
      </w:r>
      <w:r w:rsidRPr="00C05E83">
        <w:t>stakeholder</w:t>
      </w:r>
      <w:r>
        <w:t xml:space="preserve"> submissions in response (including one confidential submission)</w:t>
      </w:r>
    </w:p>
    <w:p w14:paraId="345F0021" w14:textId="74123CD2" w:rsidR="00E90BAF" w:rsidRDefault="00E90BAF" w:rsidP="00241A24">
      <w:pPr>
        <w:pStyle w:val="QCABullet"/>
        <w:ind w:left="426" w:hanging="426"/>
      </w:pPr>
      <w:r>
        <w:t xml:space="preserve">a draft determination in March 2021, in which we invited stakeholders to comment, including on the draft prices. We received </w:t>
      </w:r>
      <w:r w:rsidR="00336B8D">
        <w:t xml:space="preserve">seven </w:t>
      </w:r>
      <w:r>
        <w:t>stakeholder submissions in response</w:t>
      </w:r>
    </w:p>
    <w:p w14:paraId="3B94C532" w14:textId="77777777" w:rsidR="00E90BAF" w:rsidRDefault="00E90BAF" w:rsidP="00241A24">
      <w:pPr>
        <w:pStyle w:val="QCABullet"/>
        <w:ind w:left="426" w:hanging="426"/>
      </w:pPr>
      <w:r>
        <w:t>a final determination in June 2021, providing final prices to apply from 1 July 2021.</w:t>
      </w:r>
    </w:p>
    <w:p w14:paraId="555DF122" w14:textId="77777777" w:rsidR="00E90BAF" w:rsidRDefault="00E90BAF" w:rsidP="00F557CB">
      <w:pPr>
        <w:pStyle w:val="BodyText"/>
        <w:spacing w:before="120"/>
      </w:pPr>
      <w:r>
        <w:t>We also held a virtual workshop after publishing the draft determination, to assist stakeholders in preparing submissions.</w:t>
      </w:r>
    </w:p>
    <w:p w14:paraId="0FF87EF8" w14:textId="5B81EBD5" w:rsidR="00E90BAF" w:rsidRDefault="00E90BAF" w:rsidP="00E90BAF">
      <w:pPr>
        <w:pStyle w:val="BodyText"/>
      </w:pPr>
      <w:r>
        <w:t xml:space="preserve">Overall, the final prices result in </w:t>
      </w:r>
      <w:r w:rsidR="00616EC7">
        <w:t xml:space="preserve">lower </w:t>
      </w:r>
      <w:r>
        <w:t>electricity costs for consumers in regional Queensland. A typical customer on the main residential tariff will see a decrease of 7.3%</w:t>
      </w:r>
      <w:r w:rsidR="00616EC7">
        <w:t>,</w:t>
      </w:r>
      <w:r>
        <w:t xml:space="preserve"> and a typical customer on the main small business tariff will see a decrease of 3.7%. The fall in residential and small business </w:t>
      </w:r>
      <w:r w:rsidR="00A97EBB">
        <w:t>prices</w:t>
      </w:r>
      <w:r>
        <w:t xml:space="preserve"> is largely due to a decline in estimated energy costs.</w:t>
      </w:r>
    </w:p>
    <w:p w14:paraId="04BC5642" w14:textId="1364E6CD" w:rsidR="00724AA2" w:rsidRPr="00241A24" w:rsidRDefault="00957102" w:rsidP="00F557CB">
      <w:pPr>
        <w:pStyle w:val="Heading2"/>
        <w:spacing w:before="120"/>
        <w:rPr>
          <w:caps/>
        </w:rPr>
      </w:pPr>
      <w:bookmarkStart w:id="120" w:name="_Toc80792953"/>
      <w:bookmarkEnd w:id="119"/>
      <w:r w:rsidRPr="006B310D">
        <w:t>Schedule 8 review (Electricity Regulation 2006)</w:t>
      </w:r>
      <w:bookmarkEnd w:id="120"/>
    </w:p>
    <w:p w14:paraId="51B8D9BE" w14:textId="77777777" w:rsidR="006B310D" w:rsidRDefault="006B310D" w:rsidP="003F3C85">
      <w:pPr>
        <w:pStyle w:val="QCABodyText"/>
      </w:pPr>
      <w:r w:rsidRPr="006B310D">
        <w:t xml:space="preserve">In mid-2020, we received a direction from the Minister for Natural Resources, Mines and Energy to undertake a review of Schedule 8 of the Electricity Regulation 2006. </w:t>
      </w:r>
    </w:p>
    <w:p w14:paraId="27E4763B" w14:textId="77777777" w:rsidR="006B310D" w:rsidRDefault="006B310D" w:rsidP="003F3C85">
      <w:pPr>
        <w:pStyle w:val="QCABodyText"/>
      </w:pPr>
      <w:r w:rsidRPr="006B310D">
        <w:t xml:space="preserve">Schedule 8 sets maximum prices that customers can pay for certain services, including special meter reads undertaken by Energex and Ergon Energy and some disconnections and reconnections of electricity supply. </w:t>
      </w:r>
    </w:p>
    <w:p w14:paraId="073DB61C" w14:textId="3B863D25" w:rsidR="00957102" w:rsidRDefault="006B310D" w:rsidP="00F557CB">
      <w:pPr>
        <w:pStyle w:val="BodyText"/>
      </w:pPr>
      <w:r w:rsidRPr="006B310D">
        <w:t>We provided our written advice to the Minister by 12 February 2021.</w:t>
      </w:r>
    </w:p>
    <w:p w14:paraId="6DF13D0F" w14:textId="2E5F453F" w:rsidR="009A411B" w:rsidRPr="00C63790" w:rsidRDefault="009A411B" w:rsidP="00C63790">
      <w:pPr>
        <w:pStyle w:val="Heading2"/>
        <w:rPr>
          <w:caps/>
        </w:rPr>
      </w:pPr>
      <w:bookmarkStart w:id="121" w:name="_Toc80792954"/>
      <w:r w:rsidRPr="00C63790">
        <w:rPr>
          <w:caps/>
        </w:rPr>
        <w:t xml:space="preserve">SEQ </w:t>
      </w:r>
      <w:r w:rsidRPr="009A411B">
        <w:t>electricity market monitoring</w:t>
      </w:r>
      <w:bookmarkEnd w:id="121"/>
      <w:r>
        <w:t xml:space="preserve"> </w:t>
      </w:r>
    </w:p>
    <w:p w14:paraId="2F33D501" w14:textId="1C50BF47" w:rsidR="00804C64" w:rsidRPr="00804C64" w:rsidRDefault="00804C64" w:rsidP="00241A24">
      <w:pPr>
        <w:pStyle w:val="QCABodyText"/>
      </w:pPr>
      <w:bookmarkStart w:id="122" w:name="_Hlk75947309"/>
      <w:r w:rsidRPr="00804C64">
        <w:t xml:space="preserve">The Queensland Government deregulated retail electricity prices for residential and small business customers in </w:t>
      </w:r>
      <w:proofErr w:type="gramStart"/>
      <w:r w:rsidRPr="00804C64">
        <w:t>south east</w:t>
      </w:r>
      <w:proofErr w:type="gramEnd"/>
      <w:r w:rsidRPr="00804C64">
        <w:t xml:space="preserve"> Queensland (SEQ), effective from 1 July 2016. The market monitoring and reporting function in section 89B of the Electricity Act </w:t>
      </w:r>
      <w:r w:rsidRPr="00804C64">
        <w:lastRenderedPageBreak/>
        <w:t xml:space="preserve">is a light-handed framework </w:t>
      </w:r>
      <w:r w:rsidR="00575E76">
        <w:t>under</w:t>
      </w:r>
      <w:r w:rsidR="00575E76" w:rsidRPr="00804C64">
        <w:t xml:space="preserve"> </w:t>
      </w:r>
      <w:r w:rsidRPr="00804C64">
        <w:t xml:space="preserve">which the government can monitor the operation of the SEQ retail electricity market to ensure customers </w:t>
      </w:r>
      <w:r w:rsidR="005421C2">
        <w:t>can</w:t>
      </w:r>
      <w:r w:rsidRPr="00804C64">
        <w:t xml:space="preserve"> benefit from price deregulation and increased competition in SEQ.  </w:t>
      </w:r>
    </w:p>
    <w:p w14:paraId="727F4ED8" w14:textId="47850575" w:rsidR="00804C64" w:rsidRPr="00804C64" w:rsidRDefault="00804C64" w:rsidP="00241A24">
      <w:pPr>
        <w:pStyle w:val="QCABodyText"/>
      </w:pPr>
      <w:r w:rsidRPr="00804C64">
        <w:t>In April 2020, the Minister for Natural Resources, Mines and Energy directed us to monitor and report on the operation of the SEQ retail electricity market for residential and small business customers from 1 July 2019 to 30 June 2020.</w:t>
      </w:r>
    </w:p>
    <w:p w14:paraId="288DBBB5" w14:textId="77777777" w:rsidR="00C37BDC" w:rsidRDefault="00804C64" w:rsidP="009A411B">
      <w:pPr>
        <w:pStyle w:val="QCABodyText"/>
      </w:pPr>
      <w:r w:rsidRPr="00804C64">
        <w:t>The annual report for 2019–20 (released in December 2020) found that in 2019–20, 31 retailers in SEQ had offers available for residential and small business customers. For most retailers, the</w:t>
      </w:r>
      <w:r w:rsidR="00357CCC">
        <w:t>ir</w:t>
      </w:r>
      <w:r w:rsidRPr="00804C64">
        <w:t xml:space="preserve"> cheapest market offer in the June quarter of 2020 was lower than their cheapest offer available a year earlier. Standing offers for both residential customers and small business customers became substantially cheaper too</w:t>
      </w:r>
      <w:r w:rsidR="005421C2">
        <w:t>,</w:t>
      </w:r>
      <w:r w:rsidRPr="00804C64">
        <w:t xml:space="preserve"> following the introduction of the default market offer on 1 July 2019. </w:t>
      </w:r>
    </w:p>
    <w:p w14:paraId="61B49D6A" w14:textId="76688536" w:rsidR="00C37BDC" w:rsidRDefault="00C37BDC" w:rsidP="009A411B">
      <w:pPr>
        <w:pStyle w:val="QCABodyText"/>
      </w:pPr>
      <w:r w:rsidRPr="00C37BDC">
        <w:t xml:space="preserve">Retailers also offered new innovative products such as subscription electricity plans that are </w:t>
      </w:r>
      <w:proofErr w:type="gramStart"/>
      <w:r w:rsidRPr="00C37BDC">
        <w:t>similar to</w:t>
      </w:r>
      <w:proofErr w:type="gramEnd"/>
      <w:r w:rsidRPr="00C37BDC">
        <w:t xml:space="preserve"> prepaid mobile plans, plans that integrate supply from the grid and solar PV with battery storage, plans that pass through all costs to customers, and plans for owners of electric vehicles.</w:t>
      </w:r>
    </w:p>
    <w:p w14:paraId="32C53BE9" w14:textId="6066C586" w:rsidR="009A411B" w:rsidRDefault="00804C64" w:rsidP="009A411B">
      <w:pPr>
        <w:pStyle w:val="QCABodyText"/>
      </w:pPr>
      <w:r w:rsidRPr="00804C64">
        <w:t>The report concluded that customers had many opportunities to benefit from competition in the SEQ market in 2019–20.</w:t>
      </w:r>
    </w:p>
    <w:p w14:paraId="1DCA4312" w14:textId="241F6567" w:rsidR="002060E5" w:rsidRPr="00FA2C28" w:rsidRDefault="002060E5" w:rsidP="00F557CB">
      <w:pPr>
        <w:pStyle w:val="Heading2"/>
        <w:spacing w:before="120"/>
      </w:pPr>
      <w:bookmarkStart w:id="123" w:name="_Toc80792955"/>
      <w:bookmarkEnd w:id="122"/>
      <w:r w:rsidRPr="00491FE1">
        <w:t>Seqwater bulk water prici</w:t>
      </w:r>
      <w:r w:rsidRPr="00FA2C28">
        <w:t>ng 2022–26</w:t>
      </w:r>
      <w:bookmarkEnd w:id="123"/>
    </w:p>
    <w:p w14:paraId="5B32481C" w14:textId="541A0B60" w:rsidR="00491FE1" w:rsidRDefault="00491FE1" w:rsidP="009A411B">
      <w:pPr>
        <w:pStyle w:val="QCABodyText"/>
      </w:pPr>
      <w:r>
        <w:t xml:space="preserve">On 16 June 2021, the Treasurer </w:t>
      </w:r>
      <w:r w:rsidRPr="00491FE1">
        <w:t xml:space="preserve">directed </w:t>
      </w:r>
      <w:r>
        <w:t xml:space="preserve">us </w:t>
      </w:r>
      <w:r w:rsidRPr="00491FE1">
        <w:t>to investigate Seqwater’s bulk water pricing practices</w:t>
      </w:r>
      <w:r>
        <w:t>.</w:t>
      </w:r>
      <w:r w:rsidRPr="00491FE1">
        <w:t xml:space="preserve"> </w:t>
      </w:r>
    </w:p>
    <w:p w14:paraId="6E047695" w14:textId="77777777" w:rsidR="00491FE1" w:rsidRDefault="00491FE1" w:rsidP="009A411B">
      <w:pPr>
        <w:pStyle w:val="QCABodyText"/>
      </w:pPr>
      <w:r w:rsidRPr="00491FE1">
        <w:t xml:space="preserve">The objective of the investigation is to recommend bulk water prices to apply from 1 July 2022 to 30 June 2026. </w:t>
      </w:r>
    </w:p>
    <w:p w14:paraId="6381E640" w14:textId="33055116" w:rsidR="002060E5" w:rsidRDefault="00491FE1" w:rsidP="009A411B">
      <w:pPr>
        <w:pStyle w:val="QCABodyText"/>
      </w:pPr>
      <w:r w:rsidRPr="00491FE1">
        <w:t>We must provide a draft report by 30 November 2021 and a final report by 31 March 2022.</w:t>
      </w:r>
    </w:p>
    <w:p w14:paraId="34B346C2" w14:textId="53C4C5CB" w:rsidR="00430B8D" w:rsidRPr="00D57731" w:rsidRDefault="003A458D" w:rsidP="00871408">
      <w:pPr>
        <w:pStyle w:val="Heading2"/>
        <w:spacing w:before="120"/>
      </w:pPr>
      <w:bookmarkStart w:id="124" w:name="_Toc80792956"/>
      <w:r w:rsidRPr="00D57731">
        <w:t>Access undertakings</w:t>
      </w:r>
      <w:bookmarkEnd w:id="124"/>
    </w:p>
    <w:p w14:paraId="2175AD80" w14:textId="535B7BE6" w:rsidR="005B5C5F" w:rsidRPr="00D57731" w:rsidRDefault="003A458D" w:rsidP="0084122A">
      <w:pPr>
        <w:pStyle w:val="QCABodyText"/>
      </w:pPr>
      <w:r w:rsidRPr="00D57731">
        <w:t xml:space="preserve">We have an active role in administrating access undertakings </w:t>
      </w:r>
      <w:r w:rsidR="00BE4853" w:rsidRPr="00D57731">
        <w:t>of</w:t>
      </w:r>
      <w:r w:rsidRPr="00D57731">
        <w:t xml:space="preserve"> the three businesses subject to the access regime contained in </w:t>
      </w:r>
      <w:bookmarkStart w:id="125" w:name="_Toc487614510"/>
      <w:r w:rsidRPr="00D57731">
        <w:t>the QCA Act.</w:t>
      </w:r>
    </w:p>
    <w:p w14:paraId="77AD1333" w14:textId="5519B8E4" w:rsidR="005B5C5F" w:rsidRPr="00FA2C28" w:rsidRDefault="005B5C5F" w:rsidP="0084122A">
      <w:pPr>
        <w:pStyle w:val="QCABodyText"/>
      </w:pPr>
      <w:r w:rsidRPr="00D57731">
        <w:t>Access undertakings for Q</w:t>
      </w:r>
      <w:r w:rsidR="00055C49" w:rsidRPr="00241A24">
        <w:t xml:space="preserve">ueensland </w:t>
      </w:r>
      <w:r w:rsidRPr="00FA2C28">
        <w:t>R</w:t>
      </w:r>
      <w:r w:rsidR="00055C49" w:rsidRPr="00241A24">
        <w:t>ail</w:t>
      </w:r>
      <w:r w:rsidRPr="00FA2C28">
        <w:t xml:space="preserve"> and A</w:t>
      </w:r>
      <w:r w:rsidR="00055C49" w:rsidRPr="00241A24">
        <w:t xml:space="preserve">urizon </w:t>
      </w:r>
      <w:r w:rsidRPr="00FA2C28">
        <w:t>N</w:t>
      </w:r>
      <w:r w:rsidR="00055C49" w:rsidRPr="00241A24">
        <w:t>etwork</w:t>
      </w:r>
      <w:r w:rsidRPr="00FA2C28">
        <w:t xml:space="preserve"> are in place until 2025 and 2027 respectively. This year </w:t>
      </w:r>
      <w:r w:rsidR="008C4933" w:rsidRPr="00241A24">
        <w:t xml:space="preserve">we approved the 2019 DBCT </w:t>
      </w:r>
      <w:r w:rsidR="00EB3FD7">
        <w:t>draft access undertaking (DAU),</w:t>
      </w:r>
      <w:r w:rsidR="008C4933" w:rsidRPr="00241A24">
        <w:t xml:space="preserve"> which became the 2021 DBCT access undertaking on 1 July 2021.</w:t>
      </w:r>
    </w:p>
    <w:p w14:paraId="19213164" w14:textId="684239C0" w:rsidR="00A55617" w:rsidRPr="00301EB8" w:rsidRDefault="00BF65B0" w:rsidP="009C65B6">
      <w:pPr>
        <w:pStyle w:val="Heading3"/>
      </w:pPr>
      <w:bookmarkStart w:id="126" w:name="_Toc520282153"/>
      <w:bookmarkEnd w:id="125"/>
      <w:r w:rsidRPr="008C4933">
        <w:t>Dalrymple Bay Coal Terminal (</w:t>
      </w:r>
      <w:r w:rsidR="002C3A88" w:rsidRPr="008C4933">
        <w:t>DBCT</w:t>
      </w:r>
      <w:bookmarkEnd w:id="126"/>
      <w:r w:rsidRPr="008C4933">
        <w:t>)</w:t>
      </w:r>
    </w:p>
    <w:p w14:paraId="120A2B95" w14:textId="6B9F7200" w:rsidR="008C4933" w:rsidRDefault="008C4933" w:rsidP="008C4933">
      <w:pPr>
        <w:pStyle w:val="BodyText"/>
      </w:pPr>
      <w:r>
        <w:t xml:space="preserve">DBCT is a coal export terminal located in central Queensland, approximately 40 kilometres south of </w:t>
      </w:r>
      <w:r>
        <w:t xml:space="preserve">Mackay. DBCT is the only port facility that has been declared under Part 5 of the QCA Act. </w:t>
      </w:r>
    </w:p>
    <w:p w14:paraId="2B36A8B4" w14:textId="12B90B7B" w:rsidR="008C4933" w:rsidRDefault="008C4933" w:rsidP="008C4933">
      <w:pPr>
        <w:pStyle w:val="BodyText"/>
      </w:pPr>
      <w:r>
        <w:t xml:space="preserve">While the Queensland Government owns DBCT, the terminal is leased to </w:t>
      </w:r>
      <w:r w:rsidR="00612173" w:rsidRPr="00CF2258">
        <w:t xml:space="preserve">Dalrymple Bay Infrastructure </w:t>
      </w:r>
      <w:r w:rsidR="00CF2258">
        <w:t xml:space="preserve">Management </w:t>
      </w:r>
      <w:r w:rsidR="00612173" w:rsidRPr="00CF2258">
        <w:t>Pty Ltd (</w:t>
      </w:r>
      <w:r w:rsidR="00CF2258" w:rsidRPr="00CF2258">
        <w:t>DBIM</w:t>
      </w:r>
      <w:r w:rsidRPr="00CF2258">
        <w:t xml:space="preserve">). </w:t>
      </w:r>
      <w:r w:rsidR="00CF2258" w:rsidRPr="00CF2258">
        <w:t>DBIM</w:t>
      </w:r>
      <w:r>
        <w:t xml:space="preserve"> has a 50-year lease over the terminal from 2001, with an option to extend the lease for a further 49 years.</w:t>
      </w:r>
    </w:p>
    <w:p w14:paraId="6AF2D65B" w14:textId="1A698CF9" w:rsidR="008C4933" w:rsidRDefault="008C4933" w:rsidP="008C4933">
      <w:pPr>
        <w:pStyle w:val="BodyText"/>
      </w:pPr>
      <w:r>
        <w:t xml:space="preserve">During 2020–21, </w:t>
      </w:r>
      <w:r w:rsidR="00CF2258">
        <w:t>DBIM</w:t>
      </w:r>
      <w:r>
        <w:t xml:space="preserve"> provided access to the terminal under the terms and conditions set out in its 2017 access undertaking, which we approved in February 2017.  </w:t>
      </w:r>
    </w:p>
    <w:p w14:paraId="01166084" w14:textId="08F6E3BF" w:rsidR="008C4933" w:rsidRDefault="008C4933" w:rsidP="008C4933">
      <w:pPr>
        <w:pStyle w:val="BodyText"/>
      </w:pPr>
      <w:r>
        <w:t xml:space="preserve">On 1 July 2019, </w:t>
      </w:r>
      <w:r w:rsidR="00CF2258">
        <w:t>DBIM</w:t>
      </w:r>
      <w:r>
        <w:t xml:space="preserve"> submitted a DAU, intended to take effect when the 2017 access undertaking notionally terminated on 1 July 2021. </w:t>
      </w:r>
    </w:p>
    <w:p w14:paraId="52815A61" w14:textId="071C9140" w:rsidR="008C4933" w:rsidRDefault="008C4933" w:rsidP="008C4933">
      <w:pPr>
        <w:pStyle w:val="BodyText"/>
      </w:pPr>
      <w:r>
        <w:t xml:space="preserve">In February 2020, we published an interim draft decision on the DAU pricing model, proposing to refuse to approve the pricing model. </w:t>
      </w:r>
      <w:r w:rsidR="00D47655" w:rsidRPr="00D47655">
        <w:t xml:space="preserve">In our </w:t>
      </w:r>
      <w:r w:rsidR="00D47655">
        <w:t xml:space="preserve">interim </w:t>
      </w:r>
      <w:r w:rsidR="00D47655" w:rsidRPr="00D47655">
        <w:t>draft decision, we said that a pricing model without ref</w:t>
      </w:r>
      <w:r w:rsidR="00D47655">
        <w:t>erence</w:t>
      </w:r>
      <w:r w:rsidR="00D47655" w:rsidRPr="00D47655">
        <w:t xml:space="preserve"> tariffs could be appropriate if the submitted model was amended considerably</w:t>
      </w:r>
      <w:r w:rsidR="00D47655">
        <w:t>—b</w:t>
      </w:r>
      <w:r w:rsidR="00D47655" w:rsidRPr="00D47655">
        <w:t>ut we noted that a pricing model with ref</w:t>
      </w:r>
      <w:r w:rsidR="00D47655">
        <w:t>erence</w:t>
      </w:r>
      <w:r w:rsidR="00D47655" w:rsidRPr="00D47655">
        <w:t xml:space="preserve"> tariffs</w:t>
      </w:r>
      <w:r w:rsidR="00D47655">
        <w:t xml:space="preserve"> </w:t>
      </w:r>
      <w:r>
        <w:t>may provide some advantages over a pricing model without reference tariffs.</w:t>
      </w:r>
    </w:p>
    <w:p w14:paraId="47751E72" w14:textId="17D84D45" w:rsidR="008C4933" w:rsidRDefault="00016BC9" w:rsidP="008C4933">
      <w:pPr>
        <w:pStyle w:val="BodyText"/>
      </w:pPr>
      <w:r>
        <w:t xml:space="preserve">Our full draft decision (published in August 2020) </w:t>
      </w:r>
      <w:r w:rsidRPr="00016BC9">
        <w:t xml:space="preserve">was to refuse to approve the DAU. We proposed amendments we considered necessary </w:t>
      </w:r>
      <w:r w:rsidR="008C4933">
        <w:t xml:space="preserve">for the DAU to be approved. </w:t>
      </w:r>
      <w:r>
        <w:t>W</w:t>
      </w:r>
      <w:r w:rsidR="008C4933">
        <w:t>e were of the view that a pricing model without reference tariffs could be appropriate to approve, provided amendments to the model in the DAU were made to better balance the arbitration and negotiation processes.</w:t>
      </w:r>
    </w:p>
    <w:p w14:paraId="731DCD3C" w14:textId="77777777" w:rsidR="008C4933" w:rsidRDefault="008C4933" w:rsidP="008C4933">
      <w:pPr>
        <w:pStyle w:val="BodyText"/>
      </w:pPr>
      <w:r>
        <w:t>Following release of the draft decision, we held two further rounds of stakeholder consultation and received an additional seven submissions. We also held two public forums on the DAU—a general forum and a technical forum on the specific issue of remediation costs.</w:t>
      </w:r>
    </w:p>
    <w:p w14:paraId="59575E1F" w14:textId="47841831" w:rsidR="008C4933" w:rsidRDefault="00C04FC0" w:rsidP="008C4933">
      <w:pPr>
        <w:pStyle w:val="BodyText"/>
      </w:pPr>
      <w:r>
        <w:t>O</w:t>
      </w:r>
      <w:r w:rsidR="008C4933">
        <w:t xml:space="preserve">ur final decision in March 2021 </w:t>
      </w:r>
      <w:r>
        <w:t xml:space="preserve">was to </w:t>
      </w:r>
      <w:r w:rsidR="008C4933">
        <w:t xml:space="preserve">refuse to approve the DAU. We provided </w:t>
      </w:r>
      <w:r w:rsidR="00CF2258">
        <w:t>DBIM</w:t>
      </w:r>
      <w:r w:rsidR="008C4933">
        <w:t xml:space="preserve"> with a secondary undertaking notice in our final decision</w:t>
      </w:r>
      <w:r w:rsidR="00336B8D">
        <w:t>,</w:t>
      </w:r>
      <w:r w:rsidR="008C4933">
        <w:t xml:space="preserve"> requesting an amended DAU that would be considered appropriate to approve. The final decision maintained the draft decision position that a pricing model without reference tariffs could be appropriate but that significant amendments to the DAU model as proposed were required to better balance the way the negotiation and arbitration processes will work.</w:t>
      </w:r>
    </w:p>
    <w:p w14:paraId="6C78BA19" w14:textId="035016DB" w:rsidR="00CE537E" w:rsidRPr="00273B81" w:rsidRDefault="008C4933" w:rsidP="008C4933">
      <w:pPr>
        <w:pStyle w:val="BodyText"/>
      </w:pPr>
      <w:r>
        <w:t xml:space="preserve">On 12 May 2021, </w:t>
      </w:r>
      <w:r w:rsidR="00CF2258">
        <w:t>DBIM</w:t>
      </w:r>
      <w:r>
        <w:t xml:space="preserve"> lodged an amended DAU. We assessed the amended DAU and determined that it complied with the notice. On 1 July 2021, we approved the DAU, which is now the 2021 DBCT access undertaking.</w:t>
      </w:r>
      <w:r w:rsidR="00CE537E" w:rsidRPr="00273B81">
        <w:t xml:space="preserve"> </w:t>
      </w:r>
    </w:p>
    <w:p w14:paraId="4C9B49F7" w14:textId="77777777" w:rsidR="00505B96" w:rsidRPr="00BD2D78" w:rsidRDefault="00505B96" w:rsidP="00505B96">
      <w:pPr>
        <w:pStyle w:val="Heading3"/>
      </w:pPr>
      <w:bookmarkStart w:id="127" w:name="_Toc487614512"/>
      <w:bookmarkStart w:id="128" w:name="_Toc520282154"/>
      <w:r w:rsidRPr="00055C49">
        <w:lastRenderedPageBreak/>
        <w:t>Queensland Rail</w:t>
      </w:r>
      <w:r w:rsidRPr="00D95295">
        <w:t xml:space="preserve"> </w:t>
      </w:r>
    </w:p>
    <w:p w14:paraId="7C716EC8" w14:textId="3A010911" w:rsidR="00505B96" w:rsidRPr="00365562" w:rsidRDefault="00505B96" w:rsidP="00505B96">
      <w:pPr>
        <w:pStyle w:val="BodyText"/>
      </w:pPr>
      <w:r w:rsidRPr="00365562">
        <w:t xml:space="preserve">Queensland Rail is a statutory authority that provides passenger train services and operates a </w:t>
      </w:r>
      <w:proofErr w:type="gramStart"/>
      <w:r w:rsidRPr="00365562">
        <w:t>6,600</w:t>
      </w:r>
      <w:r w:rsidR="002868C9" w:rsidRPr="00365562">
        <w:t xml:space="preserve"> </w:t>
      </w:r>
      <w:r w:rsidRPr="00365562">
        <w:t>kilometre</w:t>
      </w:r>
      <w:proofErr w:type="gramEnd"/>
      <w:r w:rsidRPr="00365562">
        <w:t xml:space="preserve"> rail network</w:t>
      </w:r>
      <w:r w:rsidR="003657A5">
        <w:t>. The network</w:t>
      </w:r>
      <w:r w:rsidRPr="00365562">
        <w:t xml:space="preserve"> includes </w:t>
      </w:r>
      <w:proofErr w:type="gramStart"/>
      <w:r w:rsidRPr="00365562">
        <w:t>south east</w:t>
      </w:r>
      <w:proofErr w:type="gramEnd"/>
      <w:r w:rsidRPr="00365562">
        <w:t xml:space="preserve"> Queensland commuter lines, the West Moreton system and the Mount Isa and North Coast lines.</w:t>
      </w:r>
    </w:p>
    <w:p w14:paraId="09562961" w14:textId="3C10E337" w:rsidR="00505B96" w:rsidRPr="00365562" w:rsidRDefault="00505B96" w:rsidP="00505B96">
      <w:pPr>
        <w:pStyle w:val="QCABodyText"/>
      </w:pPr>
      <w:r w:rsidRPr="00365562">
        <w:t>On 1 July 2020, we approved the updated amended 2020 DAU, which is now Queensland Rail’s approved 2020 access undertaking</w:t>
      </w:r>
      <w:r w:rsidR="003657A5">
        <w:t xml:space="preserve"> that</w:t>
      </w:r>
      <w:r w:rsidRPr="00365562">
        <w:t xml:space="preserve"> </w:t>
      </w:r>
      <w:r w:rsidR="003657A5" w:rsidRPr="00365562">
        <w:t>set</w:t>
      </w:r>
      <w:r w:rsidR="003657A5">
        <w:t xml:space="preserve">s </w:t>
      </w:r>
      <w:r w:rsidRPr="00365562">
        <w:t>out the terms for access to its network. The new undertaking terminates on 30 June 2025.</w:t>
      </w:r>
    </w:p>
    <w:p w14:paraId="0C6504B7" w14:textId="68DE9E51" w:rsidR="00F86CD8" w:rsidRPr="004E7E88" w:rsidRDefault="00F86CD8" w:rsidP="00871408">
      <w:pPr>
        <w:pStyle w:val="Heading3"/>
      </w:pPr>
      <w:r w:rsidRPr="00365562">
        <w:t>Aurizon Network</w:t>
      </w:r>
      <w:bookmarkEnd w:id="127"/>
      <w:bookmarkEnd w:id="128"/>
    </w:p>
    <w:p w14:paraId="4865DF53" w14:textId="44DB2905" w:rsidR="004B1F63" w:rsidRPr="004B1F63" w:rsidRDefault="004B1F63" w:rsidP="0084122A">
      <w:pPr>
        <w:pStyle w:val="QCABodyText"/>
      </w:pPr>
      <w:r w:rsidRPr="004B1F63">
        <w:t xml:space="preserve">Aurizon operates and manages Australia’s largest export coal rail network, the Central Queensland Coal Network (CQCN), through its subsidiary company Aurizon Network. </w:t>
      </w:r>
    </w:p>
    <w:p w14:paraId="48AFFBC1" w14:textId="19420737" w:rsidR="00DC3A9C" w:rsidRDefault="004E7E88" w:rsidP="004B1F63">
      <w:pPr>
        <w:pStyle w:val="QCABodyText"/>
      </w:pPr>
      <w:r>
        <w:t xml:space="preserve">Aurizon Network’s 2017 access undertaking (UT5) </w:t>
      </w:r>
      <w:r w:rsidR="004B1F63" w:rsidRPr="004B1F63">
        <w:t>sets out details of the terms on which</w:t>
      </w:r>
      <w:r>
        <w:t xml:space="preserve"> it </w:t>
      </w:r>
      <w:r w:rsidR="004B1F63" w:rsidRPr="004B1F63">
        <w:t>undertakes to provide access to the CQCN.</w:t>
      </w:r>
      <w:r w:rsidR="00AA1601">
        <w:t xml:space="preserve"> </w:t>
      </w:r>
    </w:p>
    <w:p w14:paraId="387EF067" w14:textId="4D1749CB" w:rsidR="004E7E88" w:rsidRDefault="005B5C5F" w:rsidP="0056510E">
      <w:pPr>
        <w:pStyle w:val="QCABodyText"/>
      </w:pPr>
      <w:r>
        <w:t>Aurizon Network’s 2017 access undertaking terminates on 30 June 2027</w:t>
      </w:r>
      <w:r w:rsidR="00055C49">
        <w:t>.</w:t>
      </w:r>
    </w:p>
    <w:p w14:paraId="6E2F7B53" w14:textId="77777777" w:rsidR="005B5C5F" w:rsidRDefault="005B5C5F" w:rsidP="0056510E">
      <w:pPr>
        <w:pStyle w:val="QCABodyText"/>
      </w:pPr>
    </w:p>
    <w:p w14:paraId="0BA9DBB8" w14:textId="77777777" w:rsidR="00C35F5E" w:rsidRDefault="00C35F5E" w:rsidP="00C35F5E">
      <w:pPr>
        <w:pStyle w:val="Heading3"/>
        <w:sectPr w:rsidR="00C35F5E" w:rsidSect="004058E9">
          <w:type w:val="continuous"/>
          <w:pgSz w:w="11907" w:h="16840" w:code="9"/>
          <w:pgMar w:top="1361" w:right="851" w:bottom="1814" w:left="1814" w:header="510" w:footer="284" w:gutter="0"/>
          <w:cols w:num="2" w:space="397"/>
          <w:docGrid w:linePitch="272"/>
        </w:sectPr>
      </w:pPr>
    </w:p>
    <w:p w14:paraId="1B8425F6" w14:textId="5494C736" w:rsidR="00804C64" w:rsidRDefault="00804C64" w:rsidP="00184D0D">
      <w:pPr>
        <w:pStyle w:val="Heading2"/>
        <w:rPr>
          <w:highlight w:val="yellow"/>
        </w:rPr>
      </w:pPr>
      <w:bookmarkStart w:id="129" w:name="_Toc80792957"/>
      <w:bookmarkStart w:id="130" w:name="_Toc487614513"/>
      <w:bookmarkStart w:id="131" w:name="_Toc520282155"/>
      <w:r w:rsidRPr="00241A24">
        <w:lastRenderedPageBreak/>
        <w:t xml:space="preserve">Product </w:t>
      </w:r>
      <w:r w:rsidR="003657A5">
        <w:t>d</w:t>
      </w:r>
      <w:r w:rsidRPr="00241A24">
        <w:t>evelopment</w:t>
      </w:r>
      <w:bookmarkEnd w:id="129"/>
    </w:p>
    <w:p w14:paraId="1E979683" w14:textId="480CD13A" w:rsidR="00804C64" w:rsidRPr="00184D0D" w:rsidRDefault="00804C64">
      <w:pPr>
        <w:spacing w:before="0" w:after="160" w:line="259" w:lineRule="auto"/>
      </w:pPr>
      <w:r w:rsidRPr="00184D0D">
        <w:t>We undertook the following project</w:t>
      </w:r>
      <w:r w:rsidR="00B55270">
        <w:t>s</w:t>
      </w:r>
      <w:r w:rsidRPr="00184D0D">
        <w:t xml:space="preserve"> as part of our </w:t>
      </w:r>
      <w:r w:rsidR="003657A5">
        <w:t>p</w:t>
      </w:r>
      <w:r w:rsidRPr="00184D0D">
        <w:t xml:space="preserve">roduct </w:t>
      </w:r>
      <w:r w:rsidR="003657A5">
        <w:t>d</w:t>
      </w:r>
      <w:r w:rsidRPr="00184D0D">
        <w:t>evelopment initiative in 2020–21.</w:t>
      </w:r>
    </w:p>
    <w:p w14:paraId="484B9F73" w14:textId="505C129A" w:rsidR="00804C64" w:rsidRPr="00184D0D" w:rsidRDefault="00EE1461" w:rsidP="00184D0D">
      <w:pPr>
        <w:pStyle w:val="Heading3"/>
      </w:pPr>
      <w:r w:rsidRPr="00184D0D">
        <w:t>Review of regulatory pricing principles for the water sector</w:t>
      </w:r>
    </w:p>
    <w:p w14:paraId="46E8F289" w14:textId="2EC36807" w:rsidR="00E85450" w:rsidRDefault="00E85450" w:rsidP="00E85450">
      <w:pPr>
        <w:spacing w:before="0" w:after="160" w:line="259" w:lineRule="auto"/>
      </w:pPr>
      <w:bookmarkStart w:id="132" w:name="_Hlk75947414"/>
      <w:r>
        <w:t>We maintain a set of regulatory pricing principles for the water sector. These principles were first developed in 2000 and guide us in assessing the level and structure of prices when making recommendations to the Queensland Government about pricing practices relating to monopoly water supply activities. They aim to promote economic efficiency and social equity in the supply and use of water and water supply infrastructure, consistent with our regulatory obligations.</w:t>
      </w:r>
    </w:p>
    <w:p w14:paraId="215424AC" w14:textId="0E5C06FF" w:rsidR="00E85450" w:rsidRDefault="00E85450" w:rsidP="00E85450">
      <w:pPr>
        <w:spacing w:before="0" w:after="160" w:line="259" w:lineRule="auto"/>
      </w:pPr>
      <w:r>
        <w:t xml:space="preserve">We commenced a review of the principles in late 2020, releasing a draft statement for stakeholder comment in November 2020. </w:t>
      </w:r>
      <w:r w:rsidR="00B55270">
        <w:t>W</w:t>
      </w:r>
      <w:r>
        <w:t>e received 15 submissions on the draft statement.</w:t>
      </w:r>
    </w:p>
    <w:p w14:paraId="58010518" w14:textId="0CC520B7" w:rsidR="00BD2D78" w:rsidRPr="00184D0D" w:rsidRDefault="00E85450" w:rsidP="00E85450">
      <w:pPr>
        <w:spacing w:before="0" w:after="160" w:line="259" w:lineRule="auto"/>
      </w:pPr>
      <w:r>
        <w:t>We published a revised statement of principles on 23 April 2021. The revised statement represents a refinement of the previous principles</w:t>
      </w:r>
      <w:r w:rsidR="00EC1C64">
        <w:t xml:space="preserve">. </w:t>
      </w:r>
      <w:r w:rsidR="00EC1C64" w:rsidRPr="00EC1C64">
        <w:t>It sets out our contemporary decision-making processes when we undertake</w:t>
      </w:r>
      <w:r>
        <w:t xml:space="preserve"> water pricing investigations.</w:t>
      </w:r>
    </w:p>
    <w:bookmarkEnd w:id="132"/>
    <w:p w14:paraId="6B660600" w14:textId="1E365474" w:rsidR="00804C64" w:rsidRPr="00184D0D" w:rsidRDefault="00804C64" w:rsidP="00184D0D">
      <w:pPr>
        <w:pStyle w:val="Heading3"/>
      </w:pPr>
      <w:r w:rsidRPr="00241A24">
        <w:t>Rate of return review</w:t>
      </w:r>
    </w:p>
    <w:p w14:paraId="6BC50661" w14:textId="6ED04AA0" w:rsidR="005001D4" w:rsidRDefault="005001D4" w:rsidP="005001D4">
      <w:pPr>
        <w:spacing w:before="0" w:after="160" w:line="259" w:lineRule="auto"/>
      </w:pPr>
      <w:r>
        <w:t>During the year we commenced a review into our approach to determining reasonable rates of return for entities that are subject to the regulatory regime</w:t>
      </w:r>
      <w:r w:rsidR="00134167">
        <w:t>s</w:t>
      </w:r>
      <w:r>
        <w:t xml:space="preserve"> provided by the QCA Act. Our intention is that this process will promote confidence in our methods and provide stakeholders with transparency over our cost of capital approach. </w:t>
      </w:r>
    </w:p>
    <w:p w14:paraId="13588CA2" w14:textId="047B0477" w:rsidR="005001D4" w:rsidRDefault="005001D4" w:rsidP="005001D4">
      <w:pPr>
        <w:spacing w:before="0" w:after="160" w:line="259" w:lineRule="auto"/>
      </w:pPr>
      <w:r>
        <w:t>In November 2020 we released a paper highlighting issues in focus for the review</w:t>
      </w:r>
      <w:r w:rsidR="006B7C11">
        <w:t xml:space="preserve"> and requested comments from stakeholders. We</w:t>
      </w:r>
      <w:r>
        <w:t xml:space="preserve"> received 16 submissions. In June 2021, we released our draft report</w:t>
      </w:r>
      <w:r w:rsidR="006B7C11">
        <w:t xml:space="preserve">. We expect to publish the </w:t>
      </w:r>
      <w:r>
        <w:t xml:space="preserve">final report </w:t>
      </w:r>
      <w:r w:rsidR="006B7C11">
        <w:t xml:space="preserve">later in </w:t>
      </w:r>
      <w:r>
        <w:t>2021.</w:t>
      </w:r>
    </w:p>
    <w:p w14:paraId="2552968C" w14:textId="77A8DBA5" w:rsidR="00804C64" w:rsidRPr="00184D0D" w:rsidRDefault="005001D4" w:rsidP="005001D4">
      <w:pPr>
        <w:spacing w:before="0" w:after="160" w:line="259" w:lineRule="auto"/>
      </w:pPr>
      <w:r>
        <w:t>This process is not intended to prescribe a binding methodology for rate of return assessments, but rather to provide our latest consideration of these matters to guide stakeholders. Our intention is that in future regulatory reviews that require an assessment of rates of return, all stakeholders will be given an opportunity to make submissions, which we will consider on their merits.</w:t>
      </w:r>
    </w:p>
    <w:p w14:paraId="178FCC90" w14:textId="07F954B0" w:rsidR="00804C64" w:rsidRPr="00184D0D" w:rsidRDefault="00804C64" w:rsidP="00184D0D">
      <w:pPr>
        <w:pStyle w:val="Heading3"/>
      </w:pPr>
      <w:r w:rsidRPr="00184D0D">
        <w:t>Declaration for third party access</w:t>
      </w:r>
    </w:p>
    <w:p w14:paraId="219F6917" w14:textId="275E76EE" w:rsidR="00804C64" w:rsidRDefault="00804C64" w:rsidP="00804C64">
      <w:pPr>
        <w:spacing w:before="0" w:after="160" w:line="259" w:lineRule="auto"/>
      </w:pPr>
      <w:bookmarkStart w:id="133" w:name="_Hlk75947343"/>
      <w:r>
        <w:t xml:space="preserve">The </w:t>
      </w:r>
      <w:proofErr w:type="gramStart"/>
      <w:r>
        <w:t>third party</w:t>
      </w:r>
      <w:proofErr w:type="gramEnd"/>
      <w:r>
        <w:t xml:space="preserve"> access regime in Part 5 of the QCA Act provides a regulatory framework to enable access seekers to gain access to significant infrastructure services where there may be a lack of effective competition. </w:t>
      </w:r>
    </w:p>
    <w:p w14:paraId="468C58A4" w14:textId="5EAE9660" w:rsidR="00804C64" w:rsidRDefault="00804C64" w:rsidP="00804C64">
      <w:pPr>
        <w:spacing w:before="0" w:after="160" w:line="259" w:lineRule="auto"/>
      </w:pPr>
      <w:r>
        <w:t xml:space="preserve">Under this regime, we consider requests for declaration and make a recommendation to the Treasurer on whether a service should be declared. If a service is declared, </w:t>
      </w:r>
      <w:r w:rsidR="006B7C11">
        <w:t xml:space="preserve">an </w:t>
      </w:r>
      <w:r>
        <w:t xml:space="preserve">access seeker </w:t>
      </w:r>
      <w:proofErr w:type="gramStart"/>
      <w:r w:rsidR="006B7C11">
        <w:t xml:space="preserve">is </w:t>
      </w:r>
      <w:r>
        <w:t>able to</w:t>
      </w:r>
      <w:proofErr w:type="gramEnd"/>
      <w:r>
        <w:t xml:space="preserve"> access the service on terms that are overseen by us. Requests for declaration must be in the form approved by us.</w:t>
      </w:r>
    </w:p>
    <w:p w14:paraId="2F8B05DB" w14:textId="58637C12" w:rsidR="00804C64" w:rsidRDefault="00804C64" w:rsidP="00804C64">
      <w:pPr>
        <w:spacing w:before="0" w:after="160" w:line="259" w:lineRule="auto"/>
      </w:pPr>
      <w:r>
        <w:t xml:space="preserve">We </w:t>
      </w:r>
      <w:r w:rsidR="00E5474E">
        <w:t>published</w:t>
      </w:r>
      <w:r>
        <w:t xml:space="preserve"> a declaration guide that provides information on our processes and broad guidance on the matters we must consider in making a </w:t>
      </w:r>
      <w:bookmarkStart w:id="134" w:name="_Hlk75947351"/>
      <w:bookmarkEnd w:id="133"/>
      <w:r>
        <w:t>recommendation to the Treasurer. We also published a form that provides high</w:t>
      </w:r>
      <w:r w:rsidR="00E5474E">
        <w:t>-</w:t>
      </w:r>
      <w:r>
        <w:t xml:space="preserve">level guidance on the matters an access seeker should address in making a request.  </w:t>
      </w:r>
      <w:bookmarkEnd w:id="134"/>
    </w:p>
    <w:p w14:paraId="24C449C4" w14:textId="51F5D8B0" w:rsidR="00804C64" w:rsidRPr="00184D0D" w:rsidRDefault="00804C64" w:rsidP="00184D0D">
      <w:pPr>
        <w:pStyle w:val="Heading3"/>
      </w:pPr>
      <w:r w:rsidRPr="00241A24">
        <w:t>Inflation forecasting</w:t>
      </w:r>
    </w:p>
    <w:p w14:paraId="7B8A5136" w14:textId="1F8A00DD" w:rsidR="00315210" w:rsidRDefault="00315210" w:rsidP="00315210">
      <w:pPr>
        <w:spacing w:before="0" w:after="160" w:line="259" w:lineRule="auto"/>
      </w:pPr>
      <w:bookmarkStart w:id="135" w:name="_Hlk75947387"/>
      <w:r>
        <w:t xml:space="preserve">Forecast inflation is used in our regulatory reviews to derive the investment returns </w:t>
      </w:r>
      <w:r w:rsidR="00E5474E">
        <w:t>that</w:t>
      </w:r>
      <w:r>
        <w:t xml:space="preserve"> regulated entities</w:t>
      </w:r>
      <w:r w:rsidR="00E5474E">
        <w:t xml:space="preserve"> receive</w:t>
      </w:r>
      <w:r>
        <w:t>, derive input price growth, and apply price smoothing to maintain prices in real terms. The treatment and estimation of inflation can have significant impacts on the revenues of regulated entities and the prices their customers</w:t>
      </w:r>
      <w:r w:rsidR="00E5474E">
        <w:t xml:space="preserve"> pay</w:t>
      </w:r>
      <w:r>
        <w:t>.</w:t>
      </w:r>
    </w:p>
    <w:p w14:paraId="1C2B2621" w14:textId="77777777" w:rsidR="00315210" w:rsidRDefault="00315210" w:rsidP="00315210">
      <w:pPr>
        <w:spacing w:before="0" w:after="160" w:line="259" w:lineRule="auto"/>
      </w:pPr>
      <w:r>
        <w:t>We commenced a review of our inflation forecasting approach in early 2021, releasing an issues paper for stakeholder comment in March 2021. We received 7 submissions on this issue paper.</w:t>
      </w:r>
    </w:p>
    <w:p w14:paraId="37AD0AF9" w14:textId="6CB6BA94" w:rsidR="00BD2D78" w:rsidRPr="00184D0D" w:rsidRDefault="00E5474E" w:rsidP="00315210">
      <w:pPr>
        <w:spacing w:before="0" w:after="160" w:line="259" w:lineRule="auto"/>
      </w:pPr>
      <w:r>
        <w:t>O</w:t>
      </w:r>
      <w:r w:rsidR="00315210">
        <w:t>ur draft position paper</w:t>
      </w:r>
      <w:r>
        <w:t>, to be released</w:t>
      </w:r>
      <w:r w:rsidR="00315210">
        <w:t xml:space="preserve"> in the second half of 2021</w:t>
      </w:r>
      <w:r>
        <w:t>, will</w:t>
      </w:r>
      <w:r w:rsidR="00315210">
        <w:t xml:space="preserve"> give stakeholders the opportunity to comment before we release our final position paper later in 2021. Our final position paper will provide guidance to stakeholders on what we consider are the appropriate data sources and approach for estimating inflation in future regulatory reviews.</w:t>
      </w:r>
    </w:p>
    <w:bookmarkEnd w:id="135"/>
    <w:p w14:paraId="4478D064" w14:textId="37B10EF5" w:rsidR="00804C64" w:rsidRDefault="00804C64">
      <w:pPr>
        <w:spacing w:before="0" w:after="160" w:line="259" w:lineRule="auto"/>
        <w:rPr>
          <w:rFonts w:ascii="Calibri Light" w:eastAsiaTheme="majorEastAsia" w:hAnsi="Calibri Light" w:cstheme="majorBidi"/>
          <w:color w:val="767171" w:themeColor="background2" w:themeShade="80"/>
          <w:sz w:val="28"/>
          <w:szCs w:val="60"/>
          <w:highlight w:val="yellow"/>
        </w:rPr>
      </w:pPr>
      <w:r>
        <w:rPr>
          <w:highlight w:val="yellow"/>
        </w:rPr>
        <w:br w:type="page"/>
      </w:r>
    </w:p>
    <w:p w14:paraId="7419DC22" w14:textId="5D05D993" w:rsidR="00D27F8B" w:rsidRDefault="00ED6ED5" w:rsidP="00DC3A9C">
      <w:pPr>
        <w:pStyle w:val="Heading2"/>
      </w:pPr>
      <w:bookmarkStart w:id="136" w:name="_Toc80792958"/>
      <w:r w:rsidRPr="00423D24">
        <w:lastRenderedPageBreak/>
        <w:t>Ongoing regulatory work</w:t>
      </w:r>
      <w:bookmarkEnd w:id="130"/>
      <w:bookmarkEnd w:id="131"/>
      <w:bookmarkEnd w:id="136"/>
    </w:p>
    <w:p w14:paraId="370A64F6" w14:textId="3F2A5D23" w:rsidR="00E70572" w:rsidRPr="00241A24" w:rsidRDefault="00E5474E" w:rsidP="00241A24">
      <w:pPr>
        <w:spacing w:before="0" w:after="160" w:line="259" w:lineRule="auto"/>
      </w:pPr>
      <w:r>
        <w:t xml:space="preserve">The </w:t>
      </w:r>
      <w:r w:rsidR="00E70572" w:rsidRPr="00241A24">
        <w:t xml:space="preserve">Business Performance </w:t>
      </w:r>
      <w:r>
        <w:t xml:space="preserve">team </w:t>
      </w:r>
      <w:r w:rsidR="00E70572" w:rsidRPr="00241A24">
        <w:t>handles a range of ongoing economic regulatory work that falls outside the scope of individual projects. This includes monitoring compliance and performance, conducting capital expenditure reviews and tariff variation reviews, and dealing with stakeholder queries.</w:t>
      </w:r>
    </w:p>
    <w:p w14:paraId="6C472551" w14:textId="14C3D700" w:rsidR="00042023" w:rsidRDefault="00E70572" w:rsidP="00241A24">
      <w:pPr>
        <w:spacing w:before="0" w:after="160" w:line="259" w:lineRule="auto"/>
      </w:pPr>
      <w:r w:rsidRPr="00241A24">
        <w:t xml:space="preserve">In 2020–21, Business Performance progressed a range of matters arising from access undertakings for Aurizon Network, </w:t>
      </w:r>
      <w:r w:rsidR="00CF2258">
        <w:t>DBIM</w:t>
      </w:r>
      <w:r w:rsidRPr="00241A24">
        <w:t xml:space="preserve"> (formerly known as DBCT Management) and Queensland Rail. The most notable amongst these matters are listed below.</w:t>
      </w:r>
    </w:p>
    <w:p w14:paraId="76EBD326" w14:textId="15D0E708" w:rsidR="00210FDE" w:rsidRDefault="00210FDE" w:rsidP="00615744">
      <w:pPr>
        <w:pStyle w:val="Heading3"/>
      </w:pPr>
      <w:r>
        <w:t>Aurizon Network</w:t>
      </w:r>
    </w:p>
    <w:p w14:paraId="6A235D69" w14:textId="0608844F" w:rsidR="00495A82" w:rsidRDefault="00E70572" w:rsidP="00731D6C">
      <w:pPr>
        <w:pStyle w:val="QCABullet"/>
        <w:ind w:left="284" w:hanging="284"/>
      </w:pPr>
      <w:r>
        <w:t>Endorsed variation events 2020–21: AT5 reference tariff and QCA levy</w:t>
      </w:r>
    </w:p>
    <w:p w14:paraId="1357F0C4" w14:textId="0DCC0F15" w:rsidR="00E70572" w:rsidRDefault="00E70572" w:rsidP="00731D6C">
      <w:pPr>
        <w:pStyle w:val="QCABullet"/>
        <w:ind w:left="284" w:hanging="284"/>
      </w:pPr>
      <w:r>
        <w:t>Meteor Downs South Pricing draft amending access undertaking (DAAU)</w:t>
      </w:r>
    </w:p>
    <w:p w14:paraId="5A96100A" w14:textId="29554136" w:rsidR="00E70572" w:rsidRDefault="00E70572" w:rsidP="00731D6C">
      <w:pPr>
        <w:pStyle w:val="QCABullet"/>
        <w:ind w:left="284" w:hanging="284"/>
      </w:pPr>
      <w:r>
        <w:t>Capital expenditure claim</w:t>
      </w:r>
      <w:r w:rsidR="00E5474E">
        <w:t xml:space="preserve"> </w:t>
      </w:r>
      <w:r w:rsidR="00E5474E" w:rsidRPr="00E5474E">
        <w:t>2019–20</w:t>
      </w:r>
    </w:p>
    <w:p w14:paraId="7655B3CC" w14:textId="314010F3" w:rsidR="00E70572" w:rsidRDefault="00E70572" w:rsidP="00731D6C">
      <w:pPr>
        <w:pStyle w:val="QCABullet"/>
        <w:ind w:left="284" w:hanging="284"/>
      </w:pPr>
      <w:r>
        <w:t>Maintenance and cross system voting DAAU</w:t>
      </w:r>
    </w:p>
    <w:p w14:paraId="01D70523" w14:textId="0EC46EB7" w:rsidR="00E70572" w:rsidRDefault="00E70572" w:rsidP="00731D6C">
      <w:pPr>
        <w:pStyle w:val="QCABullet"/>
        <w:ind w:left="284" w:hanging="284"/>
      </w:pPr>
      <w:r>
        <w:t>Revenue adjustment amounts 2019–20</w:t>
      </w:r>
    </w:p>
    <w:p w14:paraId="20D8113D" w14:textId="46B37A27" w:rsidR="00E70572" w:rsidRDefault="00E70572" w:rsidP="00731D6C">
      <w:pPr>
        <w:pStyle w:val="QCABullet"/>
        <w:ind w:left="284" w:hanging="284"/>
      </w:pPr>
      <w:r>
        <w:t>Adjustment charges</w:t>
      </w:r>
      <w:r w:rsidR="00E5474E">
        <w:t xml:space="preserve"> </w:t>
      </w:r>
      <w:r w:rsidR="00E5474E" w:rsidRPr="00E5474E">
        <w:t>2020–21</w:t>
      </w:r>
    </w:p>
    <w:p w14:paraId="4698050E" w14:textId="381BCD94" w:rsidR="00E70572" w:rsidRDefault="003761A6" w:rsidP="00731D6C">
      <w:pPr>
        <w:pStyle w:val="QCABullet"/>
        <w:ind w:left="284" w:hanging="284"/>
      </w:pPr>
      <w:r>
        <w:t>Regulatory asset base</w:t>
      </w:r>
      <w:r w:rsidR="00E70572">
        <w:t xml:space="preserve"> roll-forward 2019–20</w:t>
      </w:r>
    </w:p>
    <w:p w14:paraId="26C08F56" w14:textId="5E845ADF" w:rsidR="00E70572" w:rsidRDefault="00E70572" w:rsidP="00731D6C">
      <w:pPr>
        <w:pStyle w:val="QCABullet"/>
        <w:ind w:left="284" w:hanging="284"/>
      </w:pPr>
      <w:proofErr w:type="gramStart"/>
      <w:r>
        <w:t>Newlands</w:t>
      </w:r>
      <w:proofErr w:type="gramEnd"/>
      <w:r>
        <w:t xml:space="preserve"> maintenance strategy and budget</w:t>
      </w:r>
    </w:p>
    <w:p w14:paraId="169EF521" w14:textId="3EBCAF5E" w:rsidR="00E70572" w:rsidRPr="00495A82" w:rsidRDefault="00E70572" w:rsidP="00731D6C">
      <w:pPr>
        <w:pStyle w:val="QCABullet"/>
        <w:ind w:left="284" w:hanging="284"/>
      </w:pPr>
      <w:r>
        <w:t>Annual review of reference tariffs 2020–21</w:t>
      </w:r>
    </w:p>
    <w:p w14:paraId="6106F584" w14:textId="2ED2C5FA" w:rsidR="00210FDE" w:rsidRPr="00D52902" w:rsidRDefault="00CF2258" w:rsidP="00615744">
      <w:pPr>
        <w:pStyle w:val="Heading3"/>
      </w:pPr>
      <w:r>
        <w:t>DBIM</w:t>
      </w:r>
    </w:p>
    <w:p w14:paraId="46E813F3" w14:textId="28E99301" w:rsidR="00495A82" w:rsidRDefault="00E70572" w:rsidP="00731D6C">
      <w:pPr>
        <w:pStyle w:val="QCABullet"/>
        <w:ind w:left="284" w:hanging="284"/>
      </w:pPr>
      <w:r>
        <w:t>Proposed amendments to the DBCT terminal regulations</w:t>
      </w:r>
    </w:p>
    <w:p w14:paraId="4E227DB8" w14:textId="4BD0DDDF" w:rsidR="00E70572" w:rsidRPr="00495A82" w:rsidRDefault="00CF2258" w:rsidP="00731D6C">
      <w:pPr>
        <w:pStyle w:val="QCABullet"/>
        <w:ind w:left="284" w:hanging="284"/>
      </w:pPr>
      <w:r>
        <w:t>DBIM</w:t>
      </w:r>
      <w:r w:rsidR="00E70572">
        <w:t xml:space="preserve">’s application for </w:t>
      </w:r>
      <w:r w:rsidR="00E5474E">
        <w:t xml:space="preserve">a </w:t>
      </w:r>
      <w:r w:rsidR="00E70572">
        <w:t>price ruling—the 8x expansion</w:t>
      </w:r>
    </w:p>
    <w:p w14:paraId="16E7210B" w14:textId="409CB35E" w:rsidR="00210FDE" w:rsidRDefault="00210FDE" w:rsidP="00615744">
      <w:pPr>
        <w:pStyle w:val="Heading3"/>
      </w:pPr>
      <w:r>
        <w:t>Queensland Rail</w:t>
      </w:r>
    </w:p>
    <w:p w14:paraId="41CDAC61" w14:textId="67A08515" w:rsidR="00495A82" w:rsidRPr="00495A82" w:rsidRDefault="00E70572" w:rsidP="00731D6C">
      <w:pPr>
        <w:pStyle w:val="QCABullet"/>
        <w:spacing w:after="120"/>
        <w:ind w:left="284" w:hanging="284"/>
      </w:pPr>
      <w:r>
        <w:t>Capital expenditure claim</w:t>
      </w:r>
      <w:r w:rsidR="00E5474E">
        <w:t xml:space="preserve"> </w:t>
      </w:r>
      <w:r w:rsidR="00E5474E" w:rsidRPr="00E5474E">
        <w:t>2019–20</w:t>
      </w:r>
    </w:p>
    <w:p w14:paraId="458064EE" w14:textId="78D57951" w:rsidR="00042023" w:rsidRDefault="00042023">
      <w:pPr>
        <w:spacing w:before="120"/>
      </w:pPr>
      <w:r>
        <w:t xml:space="preserve">Business Performance also managed </w:t>
      </w:r>
      <w:r w:rsidR="006B1D65">
        <w:t>the following (ongoing) projects in relation to energy</w:t>
      </w:r>
      <w:r>
        <w:t>:</w:t>
      </w:r>
    </w:p>
    <w:p w14:paraId="309C0FCA" w14:textId="62ED1014" w:rsidR="006539DB" w:rsidRDefault="006D6C48" w:rsidP="00BA7D1D">
      <w:pPr>
        <w:pStyle w:val="QCABullet"/>
        <w:ind w:left="284" w:hanging="284"/>
      </w:pPr>
      <w:r>
        <w:t xml:space="preserve">Monitoring the </w:t>
      </w:r>
      <w:r w:rsidR="006539DB">
        <w:t>SEQ retail electricity market</w:t>
      </w:r>
      <w:r>
        <w:t xml:space="preserve"> and providing</w:t>
      </w:r>
      <w:r w:rsidR="006539DB">
        <w:t xml:space="preserve"> </w:t>
      </w:r>
      <w:r w:rsidR="00375203">
        <w:t xml:space="preserve">an </w:t>
      </w:r>
      <w:r w:rsidR="006539DB">
        <w:t xml:space="preserve">annual </w:t>
      </w:r>
      <w:r>
        <w:t xml:space="preserve">report </w:t>
      </w:r>
      <w:r w:rsidR="009A411B">
        <w:t xml:space="preserve">(see page </w:t>
      </w:r>
      <w:r w:rsidR="00747242">
        <w:t>12</w:t>
      </w:r>
      <w:r w:rsidR="009A411B">
        <w:t>)</w:t>
      </w:r>
    </w:p>
    <w:p w14:paraId="0FF9511F" w14:textId="79230FCA" w:rsidR="00AB79AC" w:rsidRPr="00AB79AC" w:rsidRDefault="004C6A99" w:rsidP="00BA7D1D">
      <w:pPr>
        <w:pStyle w:val="QCABullet"/>
        <w:ind w:left="284" w:hanging="284"/>
      </w:pPr>
      <w:r>
        <w:t>M</w:t>
      </w:r>
      <w:r w:rsidR="00AB79AC" w:rsidRPr="00AB79AC">
        <w:t>onitoring SEQ solar feed-in tariffs</w:t>
      </w:r>
    </w:p>
    <w:p w14:paraId="6AA9D3BF" w14:textId="5121AFBF" w:rsidR="00AB79AC" w:rsidRPr="00AB79AC" w:rsidRDefault="004C6A99" w:rsidP="00BA7D1D">
      <w:pPr>
        <w:pStyle w:val="QCABullet"/>
        <w:ind w:left="284" w:hanging="284"/>
      </w:pPr>
      <w:r>
        <w:t>S</w:t>
      </w:r>
      <w:r w:rsidR="00AB79AC" w:rsidRPr="00AB79AC">
        <w:t>etting the solar feed-in tariff for regional Queensland</w:t>
      </w:r>
    </w:p>
    <w:p w14:paraId="102D3D27" w14:textId="6C942FDE" w:rsidR="00AB79AC" w:rsidRPr="00AB79AC" w:rsidRDefault="004C6A99" w:rsidP="00BA7D1D">
      <w:pPr>
        <w:pStyle w:val="QCABullet"/>
        <w:ind w:left="284" w:hanging="284"/>
      </w:pPr>
      <w:r>
        <w:t>M</w:t>
      </w:r>
      <w:r w:rsidR="00AB79AC" w:rsidRPr="00AB79AC">
        <w:t>onitoring compliance with the Electricity Distribution Network Code and derogations to the National Energy Customer Framework</w:t>
      </w:r>
      <w:r w:rsidR="00E5474E">
        <w:t>.</w:t>
      </w:r>
    </w:p>
    <w:p w14:paraId="5C4DB76B" w14:textId="77777777" w:rsidR="001131D1" w:rsidRDefault="001131D1" w:rsidP="00AF79AB"/>
    <w:p w14:paraId="785826E1" w14:textId="77777777" w:rsidR="001131D1" w:rsidRDefault="001131D1" w:rsidP="00AF79AB"/>
    <w:p w14:paraId="5D3100E9" w14:textId="77777777" w:rsidR="001131D1" w:rsidRDefault="001131D1" w:rsidP="00AF79AB"/>
    <w:p w14:paraId="17D6B17D" w14:textId="10328BB0" w:rsidR="001131D1" w:rsidRDefault="001131D1" w:rsidP="00AF79AB"/>
    <w:p w14:paraId="7E259F4C" w14:textId="045D27F1" w:rsidR="00392BE1" w:rsidRDefault="00392BE1" w:rsidP="00AF79AB"/>
    <w:p w14:paraId="04D1E973" w14:textId="03F58A4B" w:rsidR="00392BE1" w:rsidRDefault="00392BE1" w:rsidP="00AF79AB"/>
    <w:p w14:paraId="7DC7047B" w14:textId="5703ED73" w:rsidR="00392BE1" w:rsidRDefault="00392BE1" w:rsidP="00AF79AB"/>
    <w:p w14:paraId="4CB93DE7" w14:textId="79889AAF" w:rsidR="00392BE1" w:rsidRDefault="00392BE1" w:rsidP="00AF79AB"/>
    <w:p w14:paraId="08A32EA1" w14:textId="77407E1F" w:rsidR="00392BE1" w:rsidRDefault="00392BE1" w:rsidP="00AF79AB"/>
    <w:p w14:paraId="00336ED7" w14:textId="502FE015" w:rsidR="00392BE1" w:rsidRDefault="00392BE1" w:rsidP="00AF79AB"/>
    <w:p w14:paraId="57B46563" w14:textId="3EA2746F" w:rsidR="00392BE1" w:rsidRDefault="00392BE1" w:rsidP="00AF79AB"/>
    <w:p w14:paraId="7959AE9F" w14:textId="77777777" w:rsidR="00392BE1" w:rsidRDefault="00392BE1" w:rsidP="00AF79AB"/>
    <w:p w14:paraId="4362E9AC" w14:textId="77777777" w:rsidR="001131D1" w:rsidRDefault="001131D1" w:rsidP="00AF79AB"/>
    <w:p w14:paraId="1D9D395D" w14:textId="0F420F89" w:rsidR="001131D1" w:rsidRDefault="001131D1" w:rsidP="00AF79AB"/>
    <w:p w14:paraId="745AB9EE" w14:textId="78E58530" w:rsidR="007961EA" w:rsidRDefault="007961EA" w:rsidP="00AF79AB"/>
    <w:p w14:paraId="18336C04" w14:textId="3FDFBB51" w:rsidR="007961EA" w:rsidRDefault="007961EA" w:rsidP="00AF79AB"/>
    <w:p w14:paraId="0521E440" w14:textId="08CF870B" w:rsidR="007961EA" w:rsidRDefault="007961EA" w:rsidP="00AF79AB"/>
    <w:p w14:paraId="7D2448BF" w14:textId="2F38747C" w:rsidR="007961EA" w:rsidRDefault="007961EA" w:rsidP="00AF79AB"/>
    <w:p w14:paraId="23D97704" w14:textId="4CDA7C91" w:rsidR="00AB79AC" w:rsidRDefault="00AB79AC" w:rsidP="00AF79AB"/>
    <w:p w14:paraId="74E9B006" w14:textId="4412BEDB" w:rsidR="00856A85" w:rsidRDefault="00856A85" w:rsidP="00AF79AB"/>
    <w:p w14:paraId="1E30A7F6" w14:textId="77777777" w:rsidR="00856A85" w:rsidRDefault="00856A85" w:rsidP="00AF79AB"/>
    <w:p w14:paraId="652598C7" w14:textId="6E62E69A" w:rsidR="00AB79AC" w:rsidRDefault="00AB79AC" w:rsidP="00AF79AB"/>
    <w:p w14:paraId="4A6ED401" w14:textId="77777777" w:rsidR="00AF79AB" w:rsidRDefault="00AF79AB" w:rsidP="00AF79AB">
      <w:pPr>
        <w:pStyle w:val="Heading1"/>
        <w:sectPr w:rsidR="00AF79AB" w:rsidSect="004058E9">
          <w:headerReference w:type="even" r:id="rId25"/>
          <w:headerReference w:type="default" r:id="rId26"/>
          <w:footerReference w:type="even" r:id="rId27"/>
          <w:footerReference w:type="default" r:id="rId28"/>
          <w:headerReference w:type="first" r:id="rId29"/>
          <w:footerReference w:type="first" r:id="rId30"/>
          <w:pgSz w:w="11907" w:h="16840" w:code="9"/>
          <w:pgMar w:top="1361" w:right="851" w:bottom="1814" w:left="1814" w:header="510" w:footer="284" w:gutter="0"/>
          <w:cols w:num="2" w:space="397"/>
          <w:docGrid w:linePitch="272"/>
        </w:sectPr>
      </w:pPr>
    </w:p>
    <w:p w14:paraId="18C7FECF" w14:textId="55AADFD4" w:rsidR="00290C12" w:rsidRDefault="00290C12" w:rsidP="000E1E3D">
      <w:pPr>
        <w:pStyle w:val="QCABodyText"/>
      </w:pPr>
    </w:p>
    <w:p w14:paraId="1759AA53" w14:textId="7190E3CA" w:rsidR="003A14F8" w:rsidRDefault="003A14F8" w:rsidP="000E1E3D">
      <w:pPr>
        <w:pStyle w:val="QCABodyText"/>
      </w:pPr>
    </w:p>
    <w:p w14:paraId="5B94F8D4" w14:textId="7D1AB2E1" w:rsidR="003A14F8" w:rsidRDefault="003A14F8" w:rsidP="000E1E3D">
      <w:pPr>
        <w:pStyle w:val="QCABodyText"/>
      </w:pPr>
    </w:p>
    <w:p w14:paraId="044D6817" w14:textId="289EE1B2" w:rsidR="003A14F8" w:rsidRDefault="003A14F8" w:rsidP="000E1E3D">
      <w:pPr>
        <w:pStyle w:val="QCABodyText"/>
      </w:pPr>
    </w:p>
    <w:p w14:paraId="72452B00" w14:textId="628F87D3" w:rsidR="003A14F8" w:rsidRDefault="003A14F8" w:rsidP="000E1E3D">
      <w:pPr>
        <w:pStyle w:val="QCABodyText"/>
      </w:pPr>
    </w:p>
    <w:p w14:paraId="375A87FD" w14:textId="271FC2B0" w:rsidR="003A14F8" w:rsidRDefault="003A14F8" w:rsidP="000E1E3D">
      <w:pPr>
        <w:pStyle w:val="QCABodyText"/>
      </w:pPr>
    </w:p>
    <w:p w14:paraId="087CA23F" w14:textId="3069093A" w:rsidR="003A14F8" w:rsidRDefault="003A14F8" w:rsidP="000E1E3D">
      <w:pPr>
        <w:pStyle w:val="QCABodyText"/>
      </w:pPr>
    </w:p>
    <w:p w14:paraId="4893D4B4" w14:textId="6A53E70A" w:rsidR="003A14F8" w:rsidRDefault="003A14F8" w:rsidP="000E1E3D">
      <w:pPr>
        <w:pStyle w:val="QCABodyText"/>
      </w:pPr>
    </w:p>
    <w:p w14:paraId="2FD348D2" w14:textId="77777777" w:rsidR="003A14F8" w:rsidRDefault="003A14F8" w:rsidP="000E1E3D">
      <w:pPr>
        <w:pStyle w:val="QCABodyText"/>
      </w:pPr>
    </w:p>
    <w:p w14:paraId="0EC36205" w14:textId="77777777" w:rsidR="00A64373" w:rsidRDefault="00A64373" w:rsidP="00A64373">
      <w:pPr>
        <w:pStyle w:val="QCABullet"/>
        <w:numPr>
          <w:ilvl w:val="0"/>
          <w:numId w:val="0"/>
        </w:numPr>
        <w:ind w:left="360" w:hanging="360"/>
        <w:sectPr w:rsidR="00A64373" w:rsidSect="004058E9">
          <w:type w:val="continuous"/>
          <w:pgSz w:w="11907" w:h="16840" w:code="9"/>
          <w:pgMar w:top="1361" w:right="851" w:bottom="1814" w:left="1814" w:header="510" w:footer="284" w:gutter="0"/>
          <w:cols w:space="397"/>
          <w:docGrid w:linePitch="272"/>
        </w:sectPr>
      </w:pPr>
    </w:p>
    <w:p w14:paraId="44E2EB7D" w14:textId="3A4DE0C7" w:rsidR="003D61F1" w:rsidRDefault="003D61F1">
      <w:pPr>
        <w:spacing w:before="0" w:after="160" w:line="259" w:lineRule="auto"/>
      </w:pPr>
    </w:p>
    <w:p w14:paraId="73C51BB6" w14:textId="4BEBCF70" w:rsidR="005B5C5F" w:rsidRDefault="005B5C5F">
      <w:pPr>
        <w:spacing w:before="0" w:after="160" w:line="259" w:lineRule="auto"/>
      </w:pPr>
    </w:p>
    <w:p w14:paraId="78941695" w14:textId="30421FA7" w:rsidR="003D61F1" w:rsidRDefault="003D61F1">
      <w:pPr>
        <w:spacing w:before="0" w:after="160" w:line="259" w:lineRule="auto"/>
      </w:pPr>
      <w:r>
        <w:br w:type="page"/>
      </w:r>
    </w:p>
    <w:p w14:paraId="42EAC457" w14:textId="77777777" w:rsidR="00F04ECB" w:rsidRPr="00CC4528" w:rsidRDefault="00F04ECB" w:rsidP="00CC4528">
      <w:pPr>
        <w:sectPr w:rsidR="00F04ECB" w:rsidRPr="00CC4528" w:rsidSect="004058E9">
          <w:type w:val="continuous"/>
          <w:pgSz w:w="11907" w:h="16840" w:code="9"/>
          <w:pgMar w:top="1361" w:right="851" w:bottom="1814" w:left="1814" w:header="284" w:footer="284" w:gutter="0"/>
          <w:cols w:num="2" w:space="708"/>
          <w:docGrid w:linePitch="360"/>
        </w:sectPr>
      </w:pPr>
    </w:p>
    <w:p w14:paraId="115F152B" w14:textId="77777777" w:rsidR="00571762" w:rsidRDefault="00571762" w:rsidP="00731D6C">
      <w:pPr>
        <w:pStyle w:val="Quote"/>
        <w:ind w:right="-1418"/>
      </w:pPr>
    </w:p>
    <w:p w14:paraId="07BBC4D4" w14:textId="77777777" w:rsidR="00571762" w:rsidRDefault="00571762" w:rsidP="00E033F5">
      <w:pPr>
        <w:ind w:left="-2552"/>
      </w:pPr>
    </w:p>
    <w:p w14:paraId="497AA0F4" w14:textId="77777777" w:rsidR="00571762" w:rsidRDefault="00571762" w:rsidP="00E033F5">
      <w:pPr>
        <w:ind w:left="-2552"/>
      </w:pPr>
    </w:p>
    <w:p w14:paraId="007D835E" w14:textId="77777777" w:rsidR="00571762" w:rsidRDefault="00571762" w:rsidP="00E033F5">
      <w:pPr>
        <w:ind w:left="-2552"/>
      </w:pPr>
    </w:p>
    <w:p w14:paraId="6A254EA4" w14:textId="77777777" w:rsidR="00571762" w:rsidRDefault="00571762" w:rsidP="00E033F5">
      <w:pPr>
        <w:ind w:left="-2552"/>
      </w:pPr>
    </w:p>
    <w:p w14:paraId="3446CAD6" w14:textId="77777777" w:rsidR="00571762" w:rsidRDefault="00571762" w:rsidP="00E033F5">
      <w:pPr>
        <w:ind w:left="-2552"/>
      </w:pPr>
    </w:p>
    <w:p w14:paraId="1AE05035" w14:textId="77777777" w:rsidR="00571762" w:rsidRDefault="00571762" w:rsidP="00E033F5">
      <w:pPr>
        <w:ind w:left="-2552"/>
      </w:pPr>
    </w:p>
    <w:p w14:paraId="2A71BA47" w14:textId="77777777" w:rsidR="00571762" w:rsidRDefault="00571762" w:rsidP="00E033F5">
      <w:pPr>
        <w:ind w:left="-2552"/>
      </w:pPr>
    </w:p>
    <w:p w14:paraId="6803F208" w14:textId="77777777" w:rsidR="00571762" w:rsidRDefault="00571762" w:rsidP="00E033F5">
      <w:pPr>
        <w:ind w:left="-2552"/>
      </w:pPr>
    </w:p>
    <w:p w14:paraId="7A691E9B" w14:textId="04D042B9" w:rsidR="00571762" w:rsidRDefault="00571762" w:rsidP="00E033F5">
      <w:pPr>
        <w:ind w:left="-2552"/>
      </w:pPr>
    </w:p>
    <w:p w14:paraId="449C60FD" w14:textId="48C6D3D1" w:rsidR="00EF1C07" w:rsidRDefault="00EF1C07" w:rsidP="00E033F5">
      <w:pPr>
        <w:ind w:left="-2552"/>
      </w:pPr>
    </w:p>
    <w:p w14:paraId="0EB8C475" w14:textId="77777777" w:rsidR="00EF1C07" w:rsidRDefault="00EF1C07" w:rsidP="00E033F5">
      <w:pPr>
        <w:ind w:left="-2552"/>
      </w:pPr>
    </w:p>
    <w:p w14:paraId="2DC80A42" w14:textId="77777777" w:rsidR="00571762" w:rsidRDefault="00571762" w:rsidP="00E033F5">
      <w:pPr>
        <w:ind w:left="-2552"/>
      </w:pPr>
    </w:p>
    <w:p w14:paraId="6E3E59D2" w14:textId="77777777" w:rsidR="00571762" w:rsidRDefault="00571762" w:rsidP="00E033F5">
      <w:pPr>
        <w:ind w:left="-2552"/>
      </w:pPr>
    </w:p>
    <w:p w14:paraId="6908B0F1" w14:textId="77777777" w:rsidR="00571762" w:rsidRDefault="00571762" w:rsidP="00E033F5">
      <w:pPr>
        <w:ind w:left="-2552"/>
      </w:pPr>
    </w:p>
    <w:p w14:paraId="0D78FDDF" w14:textId="77777777" w:rsidR="00571762" w:rsidRPr="00571762" w:rsidRDefault="00571762" w:rsidP="00E033F5">
      <w:pPr>
        <w:ind w:left="-2552"/>
      </w:pPr>
    </w:p>
    <w:bookmarkStart w:id="137" w:name="_Toc487614514"/>
    <w:bookmarkStart w:id="138" w:name="_Toc520282156"/>
    <w:bookmarkStart w:id="139" w:name="_Toc80792959"/>
    <w:p w14:paraId="75B01233" w14:textId="422D8BE0" w:rsidR="00872358" w:rsidRPr="00731D6C" w:rsidRDefault="00043097" w:rsidP="00B3577E">
      <w:pPr>
        <w:pStyle w:val="Heading1"/>
        <w:pBdr>
          <w:bottom w:val="none" w:sz="0" w:space="0" w:color="auto"/>
        </w:pBdr>
        <w:ind w:left="-2694"/>
        <w:rPr>
          <w:sz w:val="96"/>
          <w:szCs w:val="96"/>
        </w:rPr>
        <w:sectPr w:rsidR="00872358" w:rsidRPr="00731D6C" w:rsidSect="004058E9">
          <w:pgSz w:w="11907" w:h="16840" w:code="9"/>
          <w:pgMar w:top="1361" w:right="1134" w:bottom="1814" w:left="3969" w:header="510" w:footer="170" w:gutter="0"/>
          <w:cols w:space="1304"/>
          <w:docGrid w:linePitch="272"/>
        </w:sectPr>
      </w:pPr>
      <w:r w:rsidRPr="00731D6C">
        <w:rPr>
          <w:noProof/>
          <w:sz w:val="96"/>
          <w:szCs w:val="96"/>
          <w:lang w:eastAsia="en-AU"/>
        </w:rPr>
        <mc:AlternateContent>
          <mc:Choice Requires="wps">
            <w:drawing>
              <wp:anchor distT="0" distB="0" distL="114300" distR="114300" simplePos="0" relativeHeight="251813888" behindDoc="0" locked="0" layoutInCell="1" allowOverlap="1" wp14:anchorId="1EA6FA18" wp14:editId="56860C44">
                <wp:simplePos x="0" y="0"/>
                <wp:positionH relativeFrom="column">
                  <wp:posOffset>-304165</wp:posOffset>
                </wp:positionH>
                <wp:positionV relativeFrom="paragraph">
                  <wp:posOffset>8716645</wp:posOffset>
                </wp:positionV>
                <wp:extent cx="3500755" cy="224790"/>
                <wp:effectExtent l="6350" t="8890" r="7620" b="13970"/>
                <wp:wrapNone/>
                <wp:docPr id="1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755" cy="2247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A21B" id="Rectangle 64" o:spid="_x0000_s1026" style="position:absolute;margin-left:-23.95pt;margin-top:686.35pt;width:275.65pt;height:17.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" strokecolor="white"/>
            </w:pict>
          </mc:Fallback>
        </mc:AlternateContent>
      </w:r>
      <w:r w:rsidR="00AB01FB" w:rsidRPr="00731D6C">
        <w:rPr>
          <w:sz w:val="96"/>
          <w:szCs w:val="96"/>
        </w:rPr>
        <w:t>Corporate matters</w:t>
      </w:r>
      <w:bookmarkEnd w:id="137"/>
      <w:bookmarkEnd w:id="138"/>
      <w:bookmarkEnd w:id="139"/>
    </w:p>
    <w:p w14:paraId="7EB72596" w14:textId="6BABE8C2" w:rsidR="006343A6" w:rsidRDefault="008A1CE1" w:rsidP="00731D6C">
      <w:pPr>
        <w:pStyle w:val="Heading1"/>
        <w:pBdr>
          <w:bottom w:val="single" w:sz="4" w:space="1" w:color="auto"/>
        </w:pBdr>
        <w:ind w:left="142" w:right="283"/>
      </w:pPr>
      <w:bookmarkStart w:id="140" w:name="_Toc424722446"/>
      <w:bookmarkStart w:id="141" w:name="_Toc424722744"/>
      <w:bookmarkStart w:id="142" w:name="_Toc424823659"/>
      <w:bookmarkStart w:id="143" w:name="_Toc426446998"/>
      <w:bookmarkStart w:id="144" w:name="_Toc426447194"/>
      <w:bookmarkStart w:id="145" w:name="_Toc426450237"/>
      <w:bookmarkStart w:id="146" w:name="_Toc426538305"/>
      <w:bookmarkStart w:id="147" w:name="_Toc426985861"/>
      <w:bookmarkStart w:id="148" w:name="_Toc427050828"/>
      <w:bookmarkStart w:id="149" w:name="_Toc428256763"/>
      <w:bookmarkStart w:id="150" w:name="_Toc456357671"/>
      <w:bookmarkStart w:id="151" w:name="_Toc456700122"/>
      <w:bookmarkStart w:id="152" w:name="_Toc487532138"/>
      <w:bookmarkStart w:id="153" w:name="_Toc487611742"/>
      <w:bookmarkStart w:id="154" w:name="_Toc487614515"/>
      <w:bookmarkStart w:id="155" w:name="_Toc487623484"/>
      <w:bookmarkStart w:id="156" w:name="_Toc520281763"/>
      <w:bookmarkStart w:id="157" w:name="_Toc520282157"/>
      <w:bookmarkStart w:id="158" w:name="_Toc14439676"/>
      <w:bookmarkStart w:id="159" w:name="_Toc15640698"/>
      <w:bookmarkStart w:id="160" w:name="_Toc46830680"/>
      <w:bookmarkStart w:id="161" w:name="_Toc47088888"/>
      <w:bookmarkStart w:id="162" w:name="_Toc47347953"/>
      <w:bookmarkStart w:id="163" w:name="_Toc47689430"/>
      <w:bookmarkStart w:id="164" w:name="_Toc47689684"/>
      <w:bookmarkStart w:id="165" w:name="_Toc48117207"/>
      <w:bookmarkStart w:id="166" w:name="_Toc48119598"/>
      <w:bookmarkStart w:id="167" w:name="_Toc50103779"/>
      <w:bookmarkStart w:id="168" w:name="_Toc78532837"/>
      <w:bookmarkStart w:id="169" w:name="_Toc79506698"/>
      <w:bookmarkStart w:id="170" w:name="_Toc79657603"/>
      <w:bookmarkStart w:id="171" w:name="_Toc80792960"/>
      <w:bookmarkStart w:id="172" w:name="_Hlk71189093"/>
      <w:r w:rsidRPr="00302BDD">
        <w:lastRenderedPageBreak/>
        <w:t>Overview</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329DD75" w14:textId="77777777" w:rsidR="00F97865" w:rsidRDefault="00F97865">
      <w:pPr>
        <w:rPr>
          <w:highlight w:val="yellow"/>
        </w:rPr>
      </w:pPr>
    </w:p>
    <w:p w14:paraId="0821B5FD" w14:textId="77777777" w:rsidR="00D64142" w:rsidRPr="00D64142" w:rsidRDefault="00D64142" w:rsidP="00D64142">
      <w:pPr>
        <w:pStyle w:val="QCABodyText"/>
        <w:rPr>
          <w:highlight w:val="yellow"/>
        </w:rPr>
        <w:sectPr w:rsidR="00D64142" w:rsidRPr="00D64142" w:rsidSect="004058E9">
          <w:pgSz w:w="11907" w:h="16840" w:code="9"/>
          <w:pgMar w:top="1361" w:right="851" w:bottom="1814" w:left="3969" w:header="510" w:footer="170" w:gutter="0"/>
          <w:cols w:space="1304"/>
          <w:docGrid w:linePitch="272"/>
        </w:sectPr>
      </w:pPr>
    </w:p>
    <w:p w14:paraId="104F4E48" w14:textId="77777777" w:rsidR="00872358" w:rsidRPr="00571C2A" w:rsidRDefault="00867979">
      <w:pPr>
        <w:pStyle w:val="Heading2"/>
      </w:pPr>
      <w:bookmarkStart w:id="173" w:name="_Toc487532139"/>
      <w:bookmarkStart w:id="174" w:name="_Toc487614516"/>
      <w:bookmarkStart w:id="175" w:name="_Toc520282158"/>
      <w:bookmarkStart w:id="176" w:name="_Toc80792961"/>
      <w:r w:rsidRPr="00571C2A">
        <w:t>Corporate governance</w:t>
      </w:r>
      <w:bookmarkEnd w:id="173"/>
      <w:bookmarkEnd w:id="174"/>
      <w:bookmarkEnd w:id="175"/>
      <w:bookmarkEnd w:id="176"/>
    </w:p>
    <w:p w14:paraId="1A8AB623" w14:textId="77777777" w:rsidR="00392282" w:rsidRPr="00392282" w:rsidRDefault="00392282" w:rsidP="00241A24">
      <w:pPr>
        <w:rPr>
          <w:rFonts w:eastAsia="Calibri" w:cs="Times New Roman"/>
        </w:rPr>
      </w:pPr>
      <w:r w:rsidRPr="00392282">
        <w:rPr>
          <w:rFonts w:eastAsia="Calibri" w:cs="Times New Roman"/>
        </w:rPr>
        <w:t xml:space="preserve">We continue to place great emphasis on corporate governance, including our robust and fact-based decision-making process. Our administrative framework is designed to support the delivery of effective and efficient economic regulation for Queensland. </w:t>
      </w:r>
    </w:p>
    <w:p w14:paraId="567A1D9A" w14:textId="26DC9113" w:rsidR="00392282" w:rsidRPr="00392282" w:rsidRDefault="00392282" w:rsidP="00241A24">
      <w:pPr>
        <w:rPr>
          <w:rFonts w:eastAsia="Calibri" w:cs="Times New Roman"/>
        </w:rPr>
      </w:pPr>
      <w:r w:rsidRPr="00392282">
        <w:rPr>
          <w:rFonts w:eastAsia="Calibri" w:cs="Times New Roman"/>
        </w:rPr>
        <w:t xml:space="preserve">We have a range of policies and procedures to help ensure that assets are safeguarded, proper financial and accounting records are </w:t>
      </w:r>
      <w:proofErr w:type="gramStart"/>
      <w:r w:rsidRPr="00392282">
        <w:rPr>
          <w:rFonts w:eastAsia="Calibri" w:cs="Times New Roman"/>
        </w:rPr>
        <w:t>maintained</w:t>
      </w:r>
      <w:proofErr w:type="gramEnd"/>
      <w:r w:rsidRPr="00392282">
        <w:rPr>
          <w:rFonts w:eastAsia="Calibri" w:cs="Times New Roman"/>
        </w:rPr>
        <w:t xml:space="preserve"> and the work and effort of staff are consistent with the </w:t>
      </w:r>
      <w:r w:rsidR="009A6160">
        <w:rPr>
          <w:rFonts w:eastAsia="Calibri" w:cs="Times New Roman"/>
        </w:rPr>
        <w:t>b</w:t>
      </w:r>
      <w:r w:rsidRPr="00392282">
        <w:rPr>
          <w:rFonts w:eastAsia="Calibri" w:cs="Times New Roman"/>
        </w:rPr>
        <w:t>oard’s strategic direction.</w:t>
      </w:r>
    </w:p>
    <w:p w14:paraId="7C5D08ED" w14:textId="3F64E881" w:rsidR="003D61F1" w:rsidRDefault="008853F9" w:rsidP="003D61F1">
      <w:pPr>
        <w:rPr>
          <w:rFonts w:eastAsia="Calibri" w:cs="Times New Roman"/>
        </w:rPr>
      </w:pPr>
      <w:r>
        <w:rPr>
          <w:rFonts w:eastAsia="Calibri" w:cs="Times New Roman"/>
        </w:rPr>
        <w:t>W</w:t>
      </w:r>
      <w:r w:rsidR="00392282" w:rsidRPr="00392282">
        <w:rPr>
          <w:rFonts w:eastAsia="Calibri" w:cs="Times New Roman"/>
        </w:rPr>
        <w:t>e emphasise the management and protection of information, as well as the maintenance of confidentiality where appropriate. Our records are stored electronically</w:t>
      </w:r>
      <w:r w:rsidR="009A6160">
        <w:rPr>
          <w:rFonts w:eastAsia="Calibri" w:cs="Times New Roman"/>
        </w:rPr>
        <w:t>,</w:t>
      </w:r>
      <w:r w:rsidR="00392282" w:rsidRPr="00392282">
        <w:rPr>
          <w:rFonts w:eastAsia="Calibri" w:cs="Times New Roman"/>
        </w:rPr>
        <w:t xml:space="preserve"> and paper records are retained as required. There were no breaches of information security during the financial year.</w:t>
      </w:r>
    </w:p>
    <w:p w14:paraId="4A7A3850" w14:textId="2AF7AA58" w:rsidR="00D85D9F" w:rsidRDefault="00D85D9F" w:rsidP="00D85D9F">
      <w:pPr>
        <w:pStyle w:val="Heading3"/>
        <w:rPr>
          <w:rFonts w:eastAsia="Calibri"/>
        </w:rPr>
      </w:pPr>
      <w:r>
        <w:rPr>
          <w:rFonts w:eastAsia="Calibri"/>
        </w:rPr>
        <w:t>Audit functions</w:t>
      </w:r>
      <w:r w:rsidRPr="00D85D9F">
        <w:rPr>
          <w:rFonts w:eastAsia="Calibri"/>
        </w:rPr>
        <w:t xml:space="preserve"> </w:t>
      </w:r>
    </w:p>
    <w:p w14:paraId="2936F3C0" w14:textId="76B6504E" w:rsidR="00C13DB3" w:rsidRDefault="00D85D9F" w:rsidP="00D85D9F">
      <w:pPr>
        <w:rPr>
          <w:rFonts w:eastAsia="Calibri" w:cs="Times New Roman"/>
        </w:rPr>
      </w:pPr>
      <w:r>
        <w:rPr>
          <w:rFonts w:eastAsia="Calibri" w:cs="Times New Roman"/>
        </w:rPr>
        <w:t>We have an established internal audit function</w:t>
      </w:r>
      <w:r w:rsidR="00BA4D9A">
        <w:rPr>
          <w:rFonts w:eastAsia="Calibri" w:cs="Times New Roman"/>
        </w:rPr>
        <w:t xml:space="preserve">. Due to being a small regulator, </w:t>
      </w:r>
      <w:r>
        <w:rPr>
          <w:rFonts w:eastAsia="Calibri" w:cs="Times New Roman"/>
        </w:rPr>
        <w:t>we outsource</w:t>
      </w:r>
      <w:r w:rsidR="00BA4D9A">
        <w:rPr>
          <w:rFonts w:eastAsia="Calibri" w:cs="Times New Roman"/>
        </w:rPr>
        <w:t>d</w:t>
      </w:r>
      <w:r>
        <w:rPr>
          <w:rFonts w:eastAsia="Calibri" w:cs="Times New Roman"/>
        </w:rPr>
        <w:t xml:space="preserve"> </w:t>
      </w:r>
      <w:r w:rsidR="00C13DB3">
        <w:rPr>
          <w:rFonts w:eastAsia="Calibri" w:cs="Times New Roman"/>
        </w:rPr>
        <w:t>our annual fee costing model and</w:t>
      </w:r>
      <w:r>
        <w:rPr>
          <w:rFonts w:eastAsia="Calibri" w:cs="Times New Roman"/>
        </w:rPr>
        <w:t xml:space="preserve"> triennial internal control systems review</w:t>
      </w:r>
      <w:r w:rsidR="00BA4D9A">
        <w:rPr>
          <w:rFonts w:eastAsia="Calibri" w:cs="Times New Roman"/>
        </w:rPr>
        <w:t>s</w:t>
      </w:r>
      <w:r>
        <w:rPr>
          <w:rFonts w:eastAsia="Calibri" w:cs="Times New Roman"/>
        </w:rPr>
        <w:t xml:space="preserve">. </w:t>
      </w:r>
    </w:p>
    <w:p w14:paraId="700FE21F" w14:textId="640F963F" w:rsidR="00D85D9F" w:rsidRDefault="00D85D9F" w:rsidP="00D85D9F">
      <w:pPr>
        <w:rPr>
          <w:rFonts w:eastAsia="Calibri" w:cs="Times New Roman"/>
        </w:rPr>
      </w:pPr>
      <w:r>
        <w:rPr>
          <w:rFonts w:eastAsia="Calibri" w:cs="Times New Roman"/>
        </w:rPr>
        <w:t xml:space="preserve">This year, </w:t>
      </w:r>
      <w:r w:rsidR="00C13DB3">
        <w:rPr>
          <w:rFonts w:eastAsia="Calibri" w:cs="Times New Roman"/>
        </w:rPr>
        <w:t>both reviews were</w:t>
      </w:r>
      <w:r>
        <w:rPr>
          <w:rFonts w:eastAsia="Calibri" w:cs="Times New Roman"/>
        </w:rPr>
        <w:t xml:space="preserve"> undertaken by Grant Thornton, which found that our systems remain appropriate. </w:t>
      </w:r>
    </w:p>
    <w:p w14:paraId="03702C5F" w14:textId="4B33A856" w:rsidR="00D85D9F" w:rsidRPr="00392282" w:rsidRDefault="00D85D9F" w:rsidP="00D85D9F">
      <w:pPr>
        <w:rPr>
          <w:rFonts w:eastAsia="Calibri" w:cs="Times New Roman"/>
        </w:rPr>
      </w:pPr>
      <w:r>
        <w:rPr>
          <w:rFonts w:eastAsia="Calibri" w:cs="Times New Roman"/>
        </w:rPr>
        <w:t>Finally, w</w:t>
      </w:r>
      <w:r w:rsidRPr="00392282">
        <w:rPr>
          <w:rFonts w:eastAsia="Calibri" w:cs="Times New Roman"/>
        </w:rPr>
        <w:t>e received an unqualified audit certificate from the Queensland Audit Office for the reporting period—reflecting the</w:t>
      </w:r>
      <w:r w:rsidR="00FD4A12">
        <w:rPr>
          <w:rFonts w:eastAsia="Calibri" w:cs="Times New Roman"/>
        </w:rPr>
        <w:t xml:space="preserve"> effectiveness</w:t>
      </w:r>
      <w:r w:rsidRPr="00392282">
        <w:rPr>
          <w:rFonts w:eastAsia="Calibri" w:cs="Times New Roman"/>
        </w:rPr>
        <w:t xml:space="preserve"> of the administrative framework.  </w:t>
      </w:r>
    </w:p>
    <w:p w14:paraId="5E261B58" w14:textId="776176FD" w:rsidR="000F40E7" w:rsidRDefault="000F40E7" w:rsidP="00D76A5A">
      <w:pPr>
        <w:pStyle w:val="Heading3"/>
        <w:rPr>
          <w:rFonts w:eastAsia="Times New Roman"/>
        </w:rPr>
      </w:pPr>
      <w:r>
        <w:rPr>
          <w:rFonts w:eastAsia="Times New Roman"/>
        </w:rPr>
        <w:t>Human rights</w:t>
      </w:r>
    </w:p>
    <w:p w14:paraId="6500317D" w14:textId="53A7A67D" w:rsidR="00392282" w:rsidRPr="00241A24" w:rsidRDefault="00392282" w:rsidP="00241A24">
      <w:pPr>
        <w:rPr>
          <w:rFonts w:eastAsia="Calibri" w:cs="Times New Roman"/>
        </w:rPr>
      </w:pPr>
      <w:r w:rsidRPr="00241A24">
        <w:rPr>
          <w:rFonts w:eastAsia="Calibri" w:cs="Times New Roman"/>
        </w:rPr>
        <w:t xml:space="preserve">We acknowledge our obligations as a public entity under the </w:t>
      </w:r>
      <w:r w:rsidRPr="00241A24">
        <w:rPr>
          <w:rFonts w:eastAsia="Calibri" w:cs="Times New Roman"/>
          <w:i/>
        </w:rPr>
        <w:t xml:space="preserve">Human Rights Act 2019 </w:t>
      </w:r>
      <w:r w:rsidRPr="00241A24">
        <w:rPr>
          <w:rFonts w:eastAsia="Calibri" w:cs="Times New Roman"/>
        </w:rPr>
        <w:t>(HRA)</w:t>
      </w:r>
      <w:r w:rsidR="003713C5">
        <w:rPr>
          <w:rFonts w:eastAsia="Calibri" w:cs="Times New Roman"/>
        </w:rPr>
        <w:t>.</w:t>
      </w:r>
      <w:r w:rsidRPr="00241A24">
        <w:rPr>
          <w:rFonts w:eastAsia="Calibri" w:cs="Times New Roman"/>
        </w:rPr>
        <w:t xml:space="preserve"> </w:t>
      </w:r>
    </w:p>
    <w:p w14:paraId="3D7EDD91" w14:textId="77777777" w:rsidR="003713C5" w:rsidRDefault="00392282" w:rsidP="00241A24">
      <w:pPr>
        <w:rPr>
          <w:rFonts w:eastAsia="Calibri" w:cs="Times New Roman"/>
        </w:rPr>
      </w:pPr>
      <w:r w:rsidRPr="00241A24">
        <w:rPr>
          <w:rFonts w:eastAsia="Calibri" w:cs="Times New Roman"/>
        </w:rPr>
        <w:t xml:space="preserve">The HRA has as its objects the protection and promotion of human rights, to build a culture in the Queensland public sector that respects and promotes human rights, and to help promote a dialogue about the nature, meaning and scope of human rights. </w:t>
      </w:r>
    </w:p>
    <w:p w14:paraId="537766BE" w14:textId="61AAEDF6" w:rsidR="00392282" w:rsidRPr="00241A24" w:rsidRDefault="00392282" w:rsidP="00241A24">
      <w:pPr>
        <w:rPr>
          <w:rFonts w:eastAsia="Calibri" w:cs="Times New Roman"/>
        </w:rPr>
      </w:pPr>
      <w:r w:rsidRPr="00241A24">
        <w:rPr>
          <w:rFonts w:eastAsia="Calibri" w:cs="Times New Roman"/>
        </w:rPr>
        <w:t xml:space="preserve">During the year we: </w:t>
      </w:r>
    </w:p>
    <w:p w14:paraId="26AD7B2A" w14:textId="635AE5E3" w:rsidR="00392282" w:rsidRPr="00392282" w:rsidRDefault="003713C5" w:rsidP="00241A24">
      <w:pPr>
        <w:pStyle w:val="QCABullet"/>
        <w:ind w:hanging="502"/>
      </w:pPr>
      <w:r w:rsidRPr="00392282">
        <w:t>implement</w:t>
      </w:r>
      <w:r>
        <w:t>ed</w:t>
      </w:r>
      <w:r w:rsidR="00392282" w:rsidRPr="00392282">
        <w:t xml:space="preserve"> human rights review</w:t>
      </w:r>
      <w:r w:rsidR="005D25B1">
        <w:t>s</w:t>
      </w:r>
      <w:r w:rsidR="00392282" w:rsidRPr="00392282">
        <w:t xml:space="preserve"> in relation to all relevant decisions</w:t>
      </w:r>
    </w:p>
    <w:p w14:paraId="685AC290" w14:textId="656E78D8" w:rsidR="00392282" w:rsidRPr="00472903" w:rsidRDefault="00392282" w:rsidP="00241A24">
      <w:pPr>
        <w:pStyle w:val="QCABullet"/>
        <w:ind w:hanging="502"/>
      </w:pPr>
      <w:r w:rsidRPr="00472903">
        <w:t>publi</w:t>
      </w:r>
      <w:r w:rsidR="003713C5">
        <w:t xml:space="preserve">shed a </w:t>
      </w:r>
      <w:r w:rsidRPr="00472903">
        <w:t>staff manual on HRA compliance</w:t>
      </w:r>
    </w:p>
    <w:p w14:paraId="510D5DD2" w14:textId="67660CC3" w:rsidR="00D77E83" w:rsidRDefault="003713C5" w:rsidP="00241A24">
      <w:pPr>
        <w:pStyle w:val="QCABullet"/>
        <w:ind w:hanging="502"/>
      </w:pPr>
      <w:r>
        <w:t xml:space="preserve">arranged </w:t>
      </w:r>
      <w:r w:rsidR="00D77E83">
        <w:t>for employees to participate in a training course titled</w:t>
      </w:r>
      <w:r>
        <w:t xml:space="preserve"> </w:t>
      </w:r>
      <w:r w:rsidRPr="003713C5">
        <w:t>'Public entities and the Queensland Human Rights Act 2019'</w:t>
      </w:r>
      <w:r>
        <w:t xml:space="preserve">, which was </w:t>
      </w:r>
      <w:r w:rsidR="00392282" w:rsidRPr="00472903">
        <w:t>conducted by the Huma</w:t>
      </w:r>
      <w:r w:rsidR="00392282" w:rsidRPr="00392282">
        <w:t>n Rights Commission</w:t>
      </w:r>
      <w:r w:rsidR="00D77E83">
        <w:t xml:space="preserve"> (26</w:t>
      </w:r>
      <w:r>
        <w:t xml:space="preserve"> employees </w:t>
      </w:r>
      <w:r w:rsidR="00D77E83">
        <w:t>took part)</w:t>
      </w:r>
    </w:p>
    <w:p w14:paraId="7CE6F303" w14:textId="07DDD263" w:rsidR="00392282" w:rsidRPr="00392282" w:rsidRDefault="00D77E83" w:rsidP="00241A24">
      <w:pPr>
        <w:pStyle w:val="QCABullet"/>
        <w:ind w:hanging="502"/>
      </w:pPr>
      <w:r>
        <w:t>offered a</w:t>
      </w:r>
      <w:r w:rsidR="00392282" w:rsidRPr="00392282">
        <w:t>dditional awareness training</w:t>
      </w:r>
      <w:r>
        <w:t>,</w:t>
      </w:r>
      <w:r w:rsidR="00392282" w:rsidRPr="00392282">
        <w:t xml:space="preserve"> delivered in-house by our </w:t>
      </w:r>
      <w:r w:rsidR="003713C5">
        <w:t>s</w:t>
      </w:r>
      <w:r w:rsidR="00392282" w:rsidRPr="00392282">
        <w:t xml:space="preserve">enior </w:t>
      </w:r>
      <w:r w:rsidR="003713C5">
        <w:t>l</w:t>
      </w:r>
      <w:r w:rsidR="00392282" w:rsidRPr="00392282">
        <w:t xml:space="preserve">egal </w:t>
      </w:r>
      <w:r w:rsidR="003713C5">
        <w:t>o</w:t>
      </w:r>
      <w:r w:rsidR="00392282" w:rsidRPr="00392282">
        <w:t>fficer</w:t>
      </w:r>
    </w:p>
    <w:p w14:paraId="4305BF16" w14:textId="63DCD337" w:rsidR="00392282" w:rsidRPr="00392282" w:rsidRDefault="00D77E83" w:rsidP="00241A24">
      <w:pPr>
        <w:pStyle w:val="QCABullet"/>
        <w:ind w:hanging="502"/>
      </w:pPr>
      <w:r>
        <w:t>published a</w:t>
      </w:r>
      <w:r w:rsidR="00392282" w:rsidRPr="00392282">
        <w:t xml:space="preserve"> human rights complaint guideline on our website.</w:t>
      </w:r>
    </w:p>
    <w:p w14:paraId="4E8098B7" w14:textId="77777777" w:rsidR="00392282" w:rsidRPr="00241A24" w:rsidRDefault="00392282" w:rsidP="00241A24">
      <w:pPr>
        <w:rPr>
          <w:rFonts w:eastAsia="Calibri" w:cs="Times New Roman"/>
        </w:rPr>
      </w:pPr>
      <w:r w:rsidRPr="00241A24">
        <w:rPr>
          <w:rFonts w:eastAsia="Calibri" w:cs="Times New Roman"/>
        </w:rPr>
        <w:t>No complaints were received about our conduct (under s. 58).</w:t>
      </w:r>
    </w:p>
    <w:p w14:paraId="182C78E4" w14:textId="451F55A9" w:rsidR="003D61F1" w:rsidRPr="003B11FC" w:rsidRDefault="004C1B01" w:rsidP="00D76A5A">
      <w:pPr>
        <w:pStyle w:val="Heading3"/>
        <w:rPr>
          <w:rFonts w:eastAsia="Times New Roman"/>
        </w:rPr>
      </w:pPr>
      <w:r>
        <w:rPr>
          <w:rFonts w:eastAsia="Times New Roman"/>
        </w:rPr>
        <w:t>Corporate</w:t>
      </w:r>
      <w:r w:rsidR="003D61F1" w:rsidRPr="003B11FC">
        <w:rPr>
          <w:rFonts w:eastAsia="Times New Roman"/>
        </w:rPr>
        <w:t xml:space="preserve"> culture</w:t>
      </w:r>
    </w:p>
    <w:p w14:paraId="01B49C97" w14:textId="6F9FEB1C" w:rsidR="00392282" w:rsidRPr="00392282" w:rsidRDefault="00392282" w:rsidP="00241A24">
      <w:pPr>
        <w:rPr>
          <w:rFonts w:eastAsia="Calibri" w:cs="Times New Roman"/>
        </w:rPr>
      </w:pPr>
      <w:r w:rsidRPr="00392282">
        <w:rPr>
          <w:rFonts w:eastAsia="Calibri" w:cs="Times New Roman"/>
        </w:rPr>
        <w:t xml:space="preserve">We continue to explore innovative initiatives to support professional development that complement and extend the suite of training programs available to our staff. Our values (trust, respect, achievement, </w:t>
      </w:r>
      <w:proofErr w:type="gramStart"/>
      <w:r w:rsidRPr="00392282">
        <w:rPr>
          <w:rFonts w:eastAsia="Calibri" w:cs="Times New Roman"/>
        </w:rPr>
        <w:t>integrity</w:t>
      </w:r>
      <w:proofErr w:type="gramEnd"/>
      <w:r w:rsidRPr="00392282">
        <w:rPr>
          <w:rFonts w:eastAsia="Calibri" w:cs="Times New Roman"/>
        </w:rPr>
        <w:t xml:space="preserve"> and teamwork) underpin our culture.</w:t>
      </w:r>
      <w:r w:rsidR="00E847EE">
        <w:rPr>
          <w:rFonts w:eastAsia="Calibri" w:cs="Times New Roman"/>
        </w:rPr>
        <w:t xml:space="preserve"> </w:t>
      </w:r>
      <w:r w:rsidR="00E847EE" w:rsidRPr="00E847EE">
        <w:rPr>
          <w:rFonts w:eastAsia="Calibri" w:cs="Times New Roman"/>
        </w:rPr>
        <w:t>We have a values recognition scheme</w:t>
      </w:r>
      <w:r w:rsidR="00D77E83">
        <w:rPr>
          <w:rFonts w:eastAsia="Calibri" w:cs="Times New Roman"/>
        </w:rPr>
        <w:t>,</w:t>
      </w:r>
      <w:r w:rsidR="00E847EE" w:rsidRPr="00E847EE">
        <w:rPr>
          <w:rFonts w:eastAsia="Calibri" w:cs="Times New Roman"/>
        </w:rPr>
        <w:t xml:space="preserve"> which allows staff to be recognised for living our values.</w:t>
      </w:r>
    </w:p>
    <w:p w14:paraId="4EE96FAF" w14:textId="46D4909D" w:rsidR="00392282" w:rsidRPr="00392282" w:rsidRDefault="00392282">
      <w:pPr>
        <w:rPr>
          <w:rFonts w:eastAsia="Calibri" w:cs="Times New Roman"/>
        </w:rPr>
      </w:pPr>
      <w:r w:rsidRPr="00392282">
        <w:rPr>
          <w:rFonts w:eastAsia="Calibri" w:cs="Times New Roman"/>
        </w:rPr>
        <w:t>All staff contracts include the requirement to abide by the code of conduct and to disclose any potential or actual conflicts of interest. Board members and staff absent themselves from all deliberations where conflicts of interest, real or perceived, are suspected or arise. This is further reinforced through awareness sessions and training.</w:t>
      </w:r>
    </w:p>
    <w:p w14:paraId="012B1A80" w14:textId="356B5E35" w:rsidR="003D61F1" w:rsidRPr="003B11FC" w:rsidRDefault="003D61F1" w:rsidP="00D76A5A">
      <w:pPr>
        <w:pStyle w:val="Heading3"/>
        <w:rPr>
          <w:rFonts w:eastAsia="Times New Roman"/>
        </w:rPr>
      </w:pPr>
      <w:r w:rsidRPr="003B11FC">
        <w:rPr>
          <w:rFonts w:eastAsia="Times New Roman"/>
        </w:rPr>
        <w:t>Risk management</w:t>
      </w:r>
    </w:p>
    <w:p w14:paraId="186FD7AD" w14:textId="71CCBFEC" w:rsidR="00C13DB3" w:rsidRDefault="00392282" w:rsidP="003D61F1">
      <w:pPr>
        <w:rPr>
          <w:rFonts w:eastAsia="Calibri" w:cs="Times New Roman"/>
        </w:rPr>
      </w:pPr>
      <w:r w:rsidRPr="00392282">
        <w:rPr>
          <w:rFonts w:eastAsia="Calibri" w:cs="Times New Roman"/>
        </w:rPr>
        <w:t xml:space="preserve">We monitor our major risks, including physical risks, employee practices liability, financial management risks, information </w:t>
      </w:r>
      <w:r w:rsidR="008853F9">
        <w:rPr>
          <w:rFonts w:eastAsia="Calibri" w:cs="Times New Roman"/>
        </w:rPr>
        <w:t>management</w:t>
      </w:r>
      <w:r w:rsidR="008853F9" w:rsidRPr="00392282">
        <w:rPr>
          <w:rFonts w:eastAsia="Calibri" w:cs="Times New Roman"/>
        </w:rPr>
        <w:t xml:space="preserve"> </w:t>
      </w:r>
      <w:r w:rsidR="00EE2665">
        <w:rPr>
          <w:rFonts w:eastAsia="Calibri" w:cs="Times New Roman"/>
        </w:rPr>
        <w:t xml:space="preserve">risks </w:t>
      </w:r>
      <w:r w:rsidRPr="00392282">
        <w:rPr>
          <w:rFonts w:eastAsia="Calibri" w:cs="Times New Roman"/>
        </w:rPr>
        <w:t xml:space="preserve">and reputation risks. We review the risk register quarterly to check mitigation and monitoring controls and activities. </w:t>
      </w:r>
      <w:r w:rsidR="00C13DB3">
        <w:rPr>
          <w:rFonts w:eastAsia="Calibri" w:cs="Times New Roman"/>
        </w:rPr>
        <w:t>We also identify operational risks in our annual operation plan</w:t>
      </w:r>
      <w:r w:rsidR="00D77E83">
        <w:rPr>
          <w:rFonts w:eastAsia="Calibri" w:cs="Times New Roman"/>
        </w:rPr>
        <w:t>,</w:t>
      </w:r>
      <w:r w:rsidR="00C13DB3">
        <w:rPr>
          <w:rFonts w:eastAsia="Calibri" w:cs="Times New Roman"/>
        </w:rPr>
        <w:t xml:space="preserve"> which are reviewed half</w:t>
      </w:r>
      <w:r w:rsidR="00D77E83">
        <w:rPr>
          <w:rFonts w:eastAsia="Calibri" w:cs="Times New Roman"/>
        </w:rPr>
        <w:t>-</w:t>
      </w:r>
      <w:r w:rsidR="00C13DB3">
        <w:rPr>
          <w:rFonts w:eastAsia="Calibri" w:cs="Times New Roman"/>
        </w:rPr>
        <w:t xml:space="preserve">yearly. </w:t>
      </w:r>
    </w:p>
    <w:p w14:paraId="6DA457DF" w14:textId="56EBB433" w:rsidR="003D61F1" w:rsidRDefault="00392282" w:rsidP="003D61F1">
      <w:pPr>
        <w:rPr>
          <w:rFonts w:eastAsia="Calibri" w:cs="Times New Roman"/>
        </w:rPr>
      </w:pPr>
      <w:r w:rsidRPr="00392282">
        <w:rPr>
          <w:rFonts w:eastAsia="Calibri" w:cs="Times New Roman"/>
        </w:rPr>
        <w:t xml:space="preserve">The </w:t>
      </w:r>
      <w:r w:rsidR="00D77E83">
        <w:rPr>
          <w:rFonts w:eastAsia="Calibri" w:cs="Times New Roman"/>
        </w:rPr>
        <w:t>b</w:t>
      </w:r>
      <w:r w:rsidRPr="00392282">
        <w:rPr>
          <w:rFonts w:eastAsia="Calibri" w:cs="Times New Roman"/>
        </w:rPr>
        <w:t>oard reviews all potential risks annually and maintains a watching brief over key and critical risks to ensure adequate mitigation and controls are effective.</w:t>
      </w:r>
    </w:p>
    <w:p w14:paraId="4BF681B7" w14:textId="5B098625" w:rsidR="000F40E7" w:rsidRDefault="000F40E7" w:rsidP="00D76A5A">
      <w:pPr>
        <w:pStyle w:val="Heading3"/>
        <w:rPr>
          <w:rFonts w:eastAsia="Times New Roman"/>
        </w:rPr>
      </w:pPr>
      <w:r>
        <w:rPr>
          <w:rFonts w:eastAsia="Times New Roman"/>
        </w:rPr>
        <w:t>Covid-19 response</w:t>
      </w:r>
    </w:p>
    <w:p w14:paraId="2150E08C" w14:textId="2B6CDEEC" w:rsidR="000F40E7" w:rsidRPr="00273B81" w:rsidRDefault="00392282" w:rsidP="00273B81">
      <w:pPr>
        <w:pStyle w:val="QCABodyText"/>
      </w:pPr>
      <w:r w:rsidRPr="00392282">
        <w:t>We maintain a Work Health and Safety Plan for Covid-19, to ensure the ongoing health and safety of our staff. The implementation of this plan, and QCA working arrangements, were adjusted throughout the year to ensure continuing compliance with updated state government advice. During mandated lockdown periods, our normal operations were adjusted to accommodate staff working from home. Meetings and other discussions were conducted via video- and teleconferencing.</w:t>
      </w:r>
    </w:p>
    <w:p w14:paraId="54CBE8C4" w14:textId="0295E81E" w:rsidR="003D61F1" w:rsidRPr="00331591" w:rsidRDefault="003D61F1" w:rsidP="00D76A5A">
      <w:pPr>
        <w:pStyle w:val="Heading3"/>
        <w:rPr>
          <w:rFonts w:eastAsia="Times New Roman"/>
        </w:rPr>
      </w:pPr>
      <w:r w:rsidRPr="00331591">
        <w:rPr>
          <w:rFonts w:eastAsia="Times New Roman"/>
        </w:rPr>
        <w:lastRenderedPageBreak/>
        <w:t xml:space="preserve">Policy </w:t>
      </w:r>
      <w:r w:rsidRPr="00331591">
        <w:t>and corporate documents</w:t>
      </w:r>
    </w:p>
    <w:p w14:paraId="1DE7C8DA" w14:textId="77777777" w:rsidR="00472903" w:rsidRPr="00472903" w:rsidRDefault="00472903" w:rsidP="00241A24">
      <w:pPr>
        <w:rPr>
          <w:rFonts w:eastAsia="Calibri" w:cs="Times New Roman"/>
          <w:color w:val="3B3838"/>
        </w:rPr>
      </w:pPr>
      <w:r w:rsidRPr="00472903">
        <w:rPr>
          <w:rFonts w:eastAsia="Calibri" w:cs="Times New Roman"/>
          <w:color w:val="3B3838"/>
        </w:rPr>
        <w:t>We routinely review and update our policies and guidelines. Policies reviewed or created during the reporting period include:</w:t>
      </w:r>
    </w:p>
    <w:p w14:paraId="601107F1" w14:textId="77777777" w:rsidR="00472903" w:rsidRPr="00241A24" w:rsidRDefault="00472903" w:rsidP="00241A24">
      <w:pPr>
        <w:pStyle w:val="QCABullet"/>
        <w:ind w:hanging="502"/>
      </w:pPr>
      <w:r w:rsidRPr="00241A24">
        <w:t>Banned shares list</w:t>
      </w:r>
    </w:p>
    <w:p w14:paraId="086AA3F6" w14:textId="77777777" w:rsidR="00472903" w:rsidRPr="00241A24" w:rsidRDefault="00472903" w:rsidP="00241A24">
      <w:pPr>
        <w:pStyle w:val="QCABullet"/>
        <w:ind w:hanging="502"/>
      </w:pPr>
      <w:r w:rsidRPr="00241A24">
        <w:t>Board meeting policy</w:t>
      </w:r>
    </w:p>
    <w:p w14:paraId="7E20CE0F" w14:textId="77777777" w:rsidR="00472903" w:rsidRPr="00241A24" w:rsidRDefault="00472903" w:rsidP="00241A24">
      <w:pPr>
        <w:pStyle w:val="QCABullet"/>
        <w:ind w:hanging="502"/>
      </w:pPr>
      <w:r w:rsidRPr="00241A24">
        <w:t xml:space="preserve">CEO and staff authorisations policy </w:t>
      </w:r>
    </w:p>
    <w:p w14:paraId="4B8E1068" w14:textId="77777777" w:rsidR="00472903" w:rsidRPr="00241A24" w:rsidRDefault="00472903" w:rsidP="00241A24">
      <w:pPr>
        <w:pStyle w:val="QCABullet"/>
        <w:ind w:hanging="502"/>
      </w:pPr>
      <w:r w:rsidRPr="00241A24">
        <w:t>Fee framework</w:t>
      </w:r>
    </w:p>
    <w:p w14:paraId="24184278" w14:textId="77777777" w:rsidR="00472903" w:rsidRPr="00241A24" w:rsidRDefault="00472903" w:rsidP="00241A24">
      <w:pPr>
        <w:pStyle w:val="QCABullet"/>
        <w:ind w:hanging="502"/>
      </w:pPr>
      <w:r w:rsidRPr="00241A24">
        <w:t>Intellectual property policy</w:t>
      </w:r>
    </w:p>
    <w:p w14:paraId="51BAC385" w14:textId="77777777" w:rsidR="00472903" w:rsidRPr="00241A24" w:rsidRDefault="00472903" w:rsidP="00241A24">
      <w:pPr>
        <w:pStyle w:val="QCABullet"/>
        <w:ind w:hanging="502"/>
      </w:pPr>
      <w:r w:rsidRPr="00241A24">
        <w:t>Managing unreasonable behaviour from the public policy</w:t>
      </w:r>
    </w:p>
    <w:p w14:paraId="04EB9B90" w14:textId="77777777" w:rsidR="00472903" w:rsidRPr="00241A24" w:rsidRDefault="00472903" w:rsidP="00241A24">
      <w:pPr>
        <w:pStyle w:val="QCABullet"/>
        <w:ind w:hanging="502"/>
      </w:pPr>
      <w:r w:rsidRPr="00241A24">
        <w:t>Purchasing policy</w:t>
      </w:r>
    </w:p>
    <w:p w14:paraId="5DBB9969" w14:textId="17131E7C" w:rsidR="00472903" w:rsidRDefault="00472903" w:rsidP="00241A24">
      <w:pPr>
        <w:pStyle w:val="QCABullet"/>
        <w:ind w:hanging="502"/>
      </w:pPr>
      <w:r w:rsidRPr="00241A24">
        <w:t>Risk management policy</w:t>
      </w:r>
    </w:p>
    <w:p w14:paraId="5385266E" w14:textId="44CA28B9" w:rsidR="00464FC1" w:rsidRDefault="00464FC1" w:rsidP="00241A24">
      <w:pPr>
        <w:pStyle w:val="QCABullet"/>
        <w:ind w:hanging="502"/>
      </w:pPr>
      <w:r>
        <w:t>Strategic plan</w:t>
      </w:r>
    </w:p>
    <w:p w14:paraId="1A891415" w14:textId="3B4D10A2" w:rsidR="00DA7E45" w:rsidRPr="00241A24" w:rsidRDefault="00DA7E45" w:rsidP="00241A24">
      <w:pPr>
        <w:pStyle w:val="QCABullet"/>
        <w:ind w:hanging="502"/>
      </w:pPr>
      <w:r>
        <w:t>Strategic workforce plan</w:t>
      </w:r>
    </w:p>
    <w:p w14:paraId="00F93088" w14:textId="77777777" w:rsidR="00472903" w:rsidRPr="00241A24" w:rsidRDefault="00472903" w:rsidP="00241A24">
      <w:pPr>
        <w:pStyle w:val="QCABullet"/>
        <w:ind w:hanging="502"/>
      </w:pPr>
      <w:r w:rsidRPr="00241A24">
        <w:t>Allocation of project resourcing guideline</w:t>
      </w:r>
    </w:p>
    <w:p w14:paraId="72C78DA5" w14:textId="77777777" w:rsidR="00472903" w:rsidRPr="00241A24" w:rsidRDefault="00472903" w:rsidP="00241A24">
      <w:pPr>
        <w:pStyle w:val="QCABullet"/>
        <w:ind w:hanging="502"/>
      </w:pPr>
      <w:proofErr w:type="spellStart"/>
      <w:r w:rsidRPr="00241A24">
        <w:t>Financeability</w:t>
      </w:r>
      <w:proofErr w:type="spellEnd"/>
      <w:r w:rsidRPr="00241A24">
        <w:t xml:space="preserve"> assessment guideline</w:t>
      </w:r>
    </w:p>
    <w:p w14:paraId="6C91F4A4" w14:textId="77777777" w:rsidR="00472903" w:rsidRPr="00241A24" w:rsidRDefault="00472903" w:rsidP="00241A24">
      <w:pPr>
        <w:pStyle w:val="QCABullet"/>
        <w:ind w:hanging="502"/>
      </w:pPr>
      <w:proofErr w:type="spellStart"/>
      <w:r w:rsidRPr="00241A24">
        <w:t>IManage</w:t>
      </w:r>
      <w:proofErr w:type="spellEnd"/>
      <w:r w:rsidRPr="00241A24">
        <w:t xml:space="preserve"> worksite user guide</w:t>
      </w:r>
    </w:p>
    <w:p w14:paraId="36632D24" w14:textId="77777777" w:rsidR="00472903" w:rsidRPr="00241A24" w:rsidRDefault="00472903" w:rsidP="00241A24">
      <w:pPr>
        <w:pStyle w:val="QCABullet"/>
        <w:ind w:hanging="502"/>
      </w:pPr>
      <w:r w:rsidRPr="00241A24">
        <w:t>Intellectual property guideline</w:t>
      </w:r>
    </w:p>
    <w:p w14:paraId="15C797C5" w14:textId="77777777" w:rsidR="00472903" w:rsidRPr="00241A24" w:rsidRDefault="00472903" w:rsidP="00241A24">
      <w:pPr>
        <w:pStyle w:val="QCABullet"/>
        <w:ind w:hanging="502"/>
      </w:pPr>
      <w:r w:rsidRPr="00241A24">
        <w:t>KPI setting and evaluation guideline</w:t>
      </w:r>
    </w:p>
    <w:p w14:paraId="2516244E" w14:textId="77777777" w:rsidR="00472903" w:rsidRPr="00241A24" w:rsidRDefault="00472903" w:rsidP="00241A24">
      <w:pPr>
        <w:pStyle w:val="QCABullet"/>
        <w:ind w:hanging="502"/>
      </w:pPr>
      <w:r w:rsidRPr="00241A24">
        <w:t xml:space="preserve">Complying with the </w:t>
      </w:r>
      <w:r w:rsidRPr="00241A24">
        <w:rPr>
          <w:i/>
        </w:rPr>
        <w:t xml:space="preserve">Human Rights Act 2019 </w:t>
      </w:r>
      <w:r w:rsidRPr="00241A24">
        <w:t>manual</w:t>
      </w:r>
    </w:p>
    <w:p w14:paraId="5D7B7F9A" w14:textId="77777777" w:rsidR="00472903" w:rsidRPr="00241A24" w:rsidRDefault="00472903" w:rsidP="00241A24">
      <w:pPr>
        <w:pStyle w:val="QCABullet"/>
        <w:ind w:hanging="502"/>
      </w:pPr>
      <w:r w:rsidRPr="00241A24">
        <w:t>Information management manual</w:t>
      </w:r>
    </w:p>
    <w:p w14:paraId="65DB2AC8" w14:textId="77777777" w:rsidR="00472903" w:rsidRPr="00241A24" w:rsidRDefault="00472903" w:rsidP="00241A24">
      <w:pPr>
        <w:pStyle w:val="QCABullet"/>
        <w:ind w:hanging="502"/>
      </w:pPr>
      <w:r w:rsidRPr="00241A24">
        <w:t>Purchasing manual</w:t>
      </w:r>
    </w:p>
    <w:p w14:paraId="240533D1" w14:textId="77777777" w:rsidR="00472903" w:rsidRPr="00241A24" w:rsidRDefault="00472903" w:rsidP="00241A24">
      <w:pPr>
        <w:pStyle w:val="QCABullet"/>
        <w:ind w:hanging="502"/>
      </w:pPr>
      <w:r w:rsidRPr="00241A24">
        <w:t>Risk management register</w:t>
      </w:r>
    </w:p>
    <w:p w14:paraId="76A1A7BF" w14:textId="77777777" w:rsidR="00472903" w:rsidRPr="00241A24" w:rsidRDefault="00472903" w:rsidP="00241A24">
      <w:pPr>
        <w:pStyle w:val="QCABullet"/>
        <w:ind w:hanging="502"/>
      </w:pPr>
      <w:r w:rsidRPr="00241A24">
        <w:t>Workplace Health and Safety manual.</w:t>
      </w:r>
    </w:p>
    <w:p w14:paraId="2DAD9C05" w14:textId="416288DA" w:rsidR="003D61F1" w:rsidRDefault="00472903" w:rsidP="003D61F1">
      <w:pPr>
        <w:rPr>
          <w:rFonts w:eastAsia="Calibri" w:cs="Times New Roman"/>
        </w:rPr>
      </w:pPr>
      <w:r w:rsidRPr="00472903">
        <w:rPr>
          <w:rFonts w:eastAsia="Calibri" w:cs="Times New Roman"/>
          <w:color w:val="3B3838"/>
        </w:rPr>
        <w:t>All staff periodically receive awareness training and guidance on the application of policy requirements.</w:t>
      </w:r>
    </w:p>
    <w:p w14:paraId="49E69E78" w14:textId="77777777" w:rsidR="003D61F1" w:rsidRPr="00F123AC" w:rsidRDefault="003D61F1" w:rsidP="00D76A5A">
      <w:pPr>
        <w:pStyle w:val="Heading3"/>
      </w:pPr>
      <w:r w:rsidRPr="00A4195D">
        <w:t>Financial performance</w:t>
      </w:r>
    </w:p>
    <w:p w14:paraId="36D9D19A" w14:textId="21DFE778" w:rsidR="00372590" w:rsidRPr="00372590" w:rsidRDefault="00372590" w:rsidP="00372590">
      <w:pPr>
        <w:rPr>
          <w:rFonts w:eastAsia="Calibri" w:cs="Times New Roman"/>
          <w:color w:val="3B3838"/>
        </w:rPr>
      </w:pPr>
      <w:r w:rsidRPr="00372590">
        <w:rPr>
          <w:rFonts w:eastAsia="Calibri" w:cs="Times New Roman"/>
          <w:color w:val="3B3838"/>
        </w:rPr>
        <w:t xml:space="preserve">We reported a loss of $0.9 million for the 2020–21 financial year. </w:t>
      </w:r>
    </w:p>
    <w:p w14:paraId="5D4ACAC0" w14:textId="30C3BE80" w:rsidR="00372590" w:rsidRPr="00372590" w:rsidRDefault="00372590" w:rsidP="00372590">
      <w:pPr>
        <w:rPr>
          <w:rFonts w:eastAsia="Calibri" w:cs="Times New Roman"/>
          <w:color w:val="3B3838"/>
        </w:rPr>
      </w:pPr>
      <w:r w:rsidRPr="00372590">
        <w:rPr>
          <w:rFonts w:eastAsia="Calibri" w:cs="Times New Roman"/>
          <w:color w:val="3B3838"/>
        </w:rPr>
        <w:t xml:space="preserve">Our total revenue was $0.3 million higher than budgeted, largely due to higher than budgeted revenue from </w:t>
      </w:r>
      <w:r w:rsidR="00CF2258">
        <w:rPr>
          <w:rFonts w:eastAsia="Calibri" w:cs="Times New Roman"/>
          <w:color w:val="3B3838"/>
        </w:rPr>
        <w:t>DBIM</w:t>
      </w:r>
      <w:r w:rsidRPr="00372590">
        <w:rPr>
          <w:rFonts w:eastAsia="Calibri" w:cs="Times New Roman"/>
          <w:color w:val="3B3838"/>
        </w:rPr>
        <w:t xml:space="preserve"> ($0.7 million) and energy price setting ($0.8 million). This was offset with decreased activity related to the projects for energy retail ($0.4 million), energy distribution ($0.1 million), Queensland Rail ($0.1 million) and Aurizon Network ($0.1 million), and a reduction in grant funding ($0.4 million). </w:t>
      </w:r>
      <w:proofErr w:type="gramStart"/>
      <w:r w:rsidRPr="00372590">
        <w:rPr>
          <w:rFonts w:eastAsia="Calibri" w:cs="Times New Roman"/>
          <w:color w:val="3B3838"/>
        </w:rPr>
        <w:t>A number of</w:t>
      </w:r>
      <w:proofErr w:type="gramEnd"/>
      <w:r w:rsidRPr="00372590">
        <w:rPr>
          <w:rFonts w:eastAsia="Calibri" w:cs="Times New Roman"/>
          <w:color w:val="3B3838"/>
        </w:rPr>
        <w:t xml:space="preserve"> minor variances account for the remaining difference of $0.1 million between budgeted and actual revenue.</w:t>
      </w:r>
    </w:p>
    <w:p w14:paraId="1950FE5F" w14:textId="77777777" w:rsidR="00372590" w:rsidRPr="00372590" w:rsidRDefault="00372590" w:rsidP="00372590">
      <w:pPr>
        <w:rPr>
          <w:rFonts w:eastAsia="Calibri" w:cs="Times New Roman"/>
          <w:color w:val="3B3838"/>
        </w:rPr>
      </w:pPr>
      <w:r w:rsidRPr="00372590">
        <w:rPr>
          <w:rFonts w:eastAsia="Calibri" w:cs="Times New Roman"/>
          <w:color w:val="3B3838"/>
        </w:rPr>
        <w:t xml:space="preserve">Our total expenditure was $0.6 million lower than budgeted. Employee expenses ($0.6 million) and IT expenses ($0.1 million) were less than budget, and payments for specialist advice ($0.2 million) were over budget. </w:t>
      </w:r>
      <w:proofErr w:type="gramStart"/>
      <w:r w:rsidRPr="00372590">
        <w:rPr>
          <w:rFonts w:eastAsia="Calibri" w:cs="Times New Roman"/>
          <w:color w:val="3B3838"/>
        </w:rPr>
        <w:t>A number of</w:t>
      </w:r>
      <w:proofErr w:type="gramEnd"/>
      <w:r w:rsidRPr="00372590">
        <w:rPr>
          <w:rFonts w:eastAsia="Calibri" w:cs="Times New Roman"/>
          <w:color w:val="3B3838"/>
        </w:rPr>
        <w:t xml:space="preserve"> minor variances account for the remaining $0.1 million of under-spend relative to budget.</w:t>
      </w:r>
    </w:p>
    <w:p w14:paraId="533B3516" w14:textId="77777777" w:rsidR="00372590" w:rsidRPr="00372590" w:rsidRDefault="00372590" w:rsidP="00372590">
      <w:pPr>
        <w:rPr>
          <w:rFonts w:eastAsia="Calibri" w:cs="Times New Roman"/>
          <w:color w:val="3B3838"/>
        </w:rPr>
      </w:pPr>
      <w:r w:rsidRPr="00372590">
        <w:rPr>
          <w:rFonts w:eastAsia="Calibri" w:cs="Times New Roman"/>
          <w:color w:val="3B3838"/>
        </w:rPr>
        <w:t>The favourable combined revenue and expenditure variances explains the improved financial position relative to the budgeted shortfall of $1.8 million.</w:t>
      </w:r>
    </w:p>
    <w:p w14:paraId="21707E23" w14:textId="77777777" w:rsidR="00372590" w:rsidRPr="00372590" w:rsidRDefault="00372590" w:rsidP="00372590">
      <w:pPr>
        <w:rPr>
          <w:rFonts w:eastAsia="Calibri" w:cs="Times New Roman"/>
          <w:color w:val="3B3838"/>
        </w:rPr>
      </w:pPr>
      <w:r w:rsidRPr="00372590">
        <w:rPr>
          <w:rFonts w:eastAsia="Calibri" w:cs="Times New Roman"/>
          <w:color w:val="3B3838"/>
        </w:rPr>
        <w:t>Expenditure, including performance against budget, is reported monthly to the board.</w:t>
      </w:r>
    </w:p>
    <w:p w14:paraId="07A5E05C" w14:textId="77777777" w:rsidR="003D61F1" w:rsidRPr="00F3445C" w:rsidRDefault="003D61F1" w:rsidP="002A503D">
      <w:pPr>
        <w:pStyle w:val="Heading3"/>
      </w:pPr>
      <w:r w:rsidRPr="00F3445C">
        <w:t>Environmental statement</w:t>
      </w:r>
    </w:p>
    <w:p w14:paraId="34BDB08C" w14:textId="77777777" w:rsidR="007F63E0" w:rsidRPr="007F63E0" w:rsidRDefault="007F63E0" w:rsidP="00241A24">
      <w:pPr>
        <w:rPr>
          <w:rFonts w:eastAsia="Calibri" w:cs="Times New Roman"/>
          <w:color w:val="3B3838"/>
        </w:rPr>
      </w:pPr>
      <w:r w:rsidRPr="007F63E0">
        <w:rPr>
          <w:rFonts w:eastAsia="Calibri" w:cs="Times New Roman"/>
          <w:color w:val="3B3838"/>
        </w:rPr>
        <w:t xml:space="preserve">We maintain an environmentally friendly workplace. The Ann Street office has a 5.5-star NABERS energy rating and a 4-star NABERS water efficiency rating. We support the efficiency measures initiated by the building's management. </w:t>
      </w:r>
    </w:p>
    <w:p w14:paraId="79D8F4F7" w14:textId="48D2654E" w:rsidR="003D61F1" w:rsidRPr="00F3445C" w:rsidRDefault="007F63E0" w:rsidP="003D61F1">
      <w:pPr>
        <w:rPr>
          <w:rFonts w:eastAsia="Calibri" w:cs="Times New Roman"/>
          <w:color w:val="3B3838"/>
        </w:rPr>
      </w:pPr>
      <w:r w:rsidRPr="007F63E0">
        <w:rPr>
          <w:rFonts w:eastAsia="Calibri" w:cs="Times New Roman"/>
          <w:color w:val="3B3838"/>
        </w:rPr>
        <w:t xml:space="preserve">The office environment benefits from low sills and a stepped perimeter ceiling that maximises the natural light penetration and, together with motion-activated lighting, saves energy. We also promote </w:t>
      </w:r>
      <w:proofErr w:type="gramStart"/>
      <w:r w:rsidRPr="007F63E0">
        <w:rPr>
          <w:rFonts w:eastAsia="Calibri" w:cs="Times New Roman"/>
          <w:color w:val="3B3838"/>
        </w:rPr>
        <w:t>recycling</w:t>
      </w:r>
      <w:proofErr w:type="gramEnd"/>
      <w:r w:rsidRPr="007F63E0">
        <w:rPr>
          <w:rFonts w:eastAsia="Calibri" w:cs="Times New Roman"/>
          <w:color w:val="3B3838"/>
        </w:rPr>
        <w:t xml:space="preserve"> and we have in place recycling bins for paper and cardboard. The building facilities also support our </w:t>
      </w:r>
      <w:r w:rsidR="00E65545">
        <w:rPr>
          <w:rFonts w:eastAsia="Calibri" w:cs="Times New Roman"/>
          <w:color w:val="3B3838"/>
        </w:rPr>
        <w:t xml:space="preserve">policies on </w:t>
      </w:r>
      <w:r w:rsidRPr="007F63E0">
        <w:rPr>
          <w:rFonts w:eastAsia="Calibri" w:cs="Times New Roman"/>
          <w:color w:val="3B3838"/>
        </w:rPr>
        <w:t>work–life balance, with excellent end-of-trip facilities (including secure bike racks and showering facilities) and heart-smart stairs between floors.</w:t>
      </w:r>
    </w:p>
    <w:p w14:paraId="1044D6E7" w14:textId="2FDB65D2" w:rsidR="009A3452" w:rsidRPr="009A3452" w:rsidRDefault="009A3452" w:rsidP="009A3452">
      <w:pPr>
        <w:pStyle w:val="Heading3"/>
      </w:pPr>
      <w:r>
        <w:t>Open data</w:t>
      </w:r>
    </w:p>
    <w:p w14:paraId="4262B8D2" w14:textId="31ECFEA3" w:rsidR="009A3452" w:rsidRPr="009A3452" w:rsidRDefault="007F63E0" w:rsidP="00273B81">
      <w:pPr>
        <w:rPr>
          <w:rFonts w:eastAsia="Calibri" w:cs="Times New Roman"/>
          <w:color w:val="3B3838"/>
        </w:rPr>
      </w:pPr>
      <w:r w:rsidRPr="007F63E0">
        <w:rPr>
          <w:rFonts w:eastAsia="Calibri" w:cs="Times New Roman"/>
          <w:color w:val="3B3838"/>
        </w:rPr>
        <w:t>Statutory bodies are not required to maintain an open data strategy. However, we subscribe to open data principles and</w:t>
      </w:r>
      <w:r w:rsidR="00353A15">
        <w:rPr>
          <w:rFonts w:eastAsia="Calibri" w:cs="Times New Roman"/>
          <w:color w:val="3B3838"/>
        </w:rPr>
        <w:t>,</w:t>
      </w:r>
      <w:r w:rsidRPr="007F63E0">
        <w:rPr>
          <w:rFonts w:eastAsia="Calibri" w:cs="Times New Roman"/>
          <w:color w:val="3B3838"/>
        </w:rPr>
        <w:t xml:space="preserve"> unless deemed confidential or not required to publish by direction or legislation, we publish and provide access to information necessary to inform stakeholders. Information on the Queensland Government's open data policy is available on its Open Data Portal.</w:t>
      </w:r>
    </w:p>
    <w:p w14:paraId="60593178" w14:textId="77777777" w:rsidR="009A3452" w:rsidRPr="00273B81" w:rsidRDefault="009A3452" w:rsidP="009A3452">
      <w:pPr>
        <w:pStyle w:val="Heading3"/>
      </w:pPr>
      <w:r w:rsidRPr="00273B81">
        <w:t>Consultancies</w:t>
      </w:r>
    </w:p>
    <w:p w14:paraId="58CBB8FC" w14:textId="4A854C1C" w:rsidR="009A3452" w:rsidRPr="009A3452" w:rsidRDefault="007F63E0" w:rsidP="00273B81">
      <w:pPr>
        <w:rPr>
          <w:rFonts w:eastAsia="Calibri" w:cs="Times New Roman"/>
          <w:color w:val="3B3838"/>
        </w:rPr>
      </w:pPr>
      <w:r w:rsidRPr="007F63E0">
        <w:rPr>
          <w:rFonts w:eastAsia="Calibri" w:cs="Times New Roman"/>
          <w:color w:val="3B3838"/>
        </w:rPr>
        <w:t>We use consultancies to augment our in</w:t>
      </w:r>
      <w:r w:rsidR="00353A15">
        <w:rPr>
          <w:rFonts w:eastAsia="Calibri" w:cs="Times New Roman"/>
          <w:color w:val="3B3838"/>
        </w:rPr>
        <w:t>-</w:t>
      </w:r>
      <w:r w:rsidRPr="007F63E0">
        <w:rPr>
          <w:rFonts w:eastAsia="Calibri" w:cs="Times New Roman"/>
          <w:color w:val="3B3838"/>
        </w:rPr>
        <w:t>house capacity. When necessary, we utilise engineering firms and law firms to undertake work and activities and advise on specific requirements of a direction notice</w:t>
      </w:r>
      <w:r w:rsidR="00353A15">
        <w:rPr>
          <w:rFonts w:eastAsia="Calibri" w:cs="Times New Roman"/>
          <w:color w:val="3B3838"/>
        </w:rPr>
        <w:t>,</w:t>
      </w:r>
      <w:r w:rsidRPr="007F63E0">
        <w:rPr>
          <w:rFonts w:eastAsia="Calibri" w:cs="Times New Roman"/>
          <w:color w:val="3B3838"/>
        </w:rPr>
        <w:t xml:space="preserve"> or to comprehensively review and assess </w:t>
      </w:r>
      <w:r w:rsidR="00353A15">
        <w:rPr>
          <w:rFonts w:eastAsia="Calibri" w:cs="Times New Roman"/>
          <w:color w:val="3B3838"/>
        </w:rPr>
        <w:t xml:space="preserve">draft </w:t>
      </w:r>
      <w:r w:rsidRPr="007F63E0">
        <w:rPr>
          <w:rFonts w:eastAsia="Calibri" w:cs="Times New Roman"/>
          <w:color w:val="3B3838"/>
        </w:rPr>
        <w:t>access undertakings and other submissions. We are mindful of the need to achieve value for money</w:t>
      </w:r>
      <w:r w:rsidR="00353A15">
        <w:rPr>
          <w:rFonts w:eastAsia="Calibri" w:cs="Times New Roman"/>
          <w:color w:val="3B3838"/>
        </w:rPr>
        <w:t>,</w:t>
      </w:r>
      <w:r w:rsidRPr="007F63E0">
        <w:rPr>
          <w:rFonts w:eastAsia="Calibri" w:cs="Times New Roman"/>
          <w:color w:val="3B3838"/>
        </w:rPr>
        <w:t xml:space="preserve"> and where possible</w:t>
      </w:r>
      <w:r w:rsidR="00353A15">
        <w:rPr>
          <w:rFonts w:eastAsia="Calibri" w:cs="Times New Roman"/>
          <w:color w:val="3B3838"/>
        </w:rPr>
        <w:t>, we</w:t>
      </w:r>
      <w:r w:rsidRPr="007F63E0">
        <w:rPr>
          <w:rFonts w:eastAsia="Calibri" w:cs="Times New Roman"/>
          <w:color w:val="3B3838"/>
        </w:rPr>
        <w:t xml:space="preserve"> use state government procurement standing offer arrangements or issue clearly specified tenders.</w:t>
      </w:r>
    </w:p>
    <w:p w14:paraId="1A848712" w14:textId="77777777" w:rsidR="009A3452" w:rsidRPr="00273B81" w:rsidRDefault="009A3452" w:rsidP="009A3452">
      <w:pPr>
        <w:pStyle w:val="Heading3"/>
      </w:pPr>
      <w:r w:rsidRPr="00273B81">
        <w:t>Overseas travel</w:t>
      </w:r>
    </w:p>
    <w:p w14:paraId="3987BCE9" w14:textId="4889741E" w:rsidR="009A3452" w:rsidRPr="00273B81" w:rsidRDefault="007F63E0" w:rsidP="00273B81">
      <w:pPr>
        <w:rPr>
          <w:rFonts w:eastAsia="Calibri" w:cs="Times New Roman"/>
          <w:color w:val="3B3838"/>
        </w:rPr>
      </w:pPr>
      <w:r w:rsidRPr="007F63E0">
        <w:rPr>
          <w:rFonts w:eastAsia="Calibri" w:cs="Times New Roman"/>
          <w:color w:val="3B3838"/>
        </w:rPr>
        <w:t>There was no overseas travel during 2020</w:t>
      </w:r>
      <w:r w:rsidR="00E847EE">
        <w:rPr>
          <w:rFonts w:eastAsia="Calibri" w:cs="Times New Roman"/>
          <w:color w:val="3B3838"/>
        </w:rPr>
        <w:t>–</w:t>
      </w:r>
      <w:r w:rsidRPr="007F63E0">
        <w:rPr>
          <w:rFonts w:eastAsia="Calibri" w:cs="Times New Roman"/>
          <w:color w:val="3B3838"/>
        </w:rPr>
        <w:t>21.</w:t>
      </w:r>
    </w:p>
    <w:p w14:paraId="6D32FD0A" w14:textId="2C785961" w:rsidR="005D7C54" w:rsidRDefault="005D7C54" w:rsidP="000B4EAD">
      <w:pPr>
        <w:pStyle w:val="Heading3"/>
      </w:pPr>
      <w:r>
        <w:t xml:space="preserve">Our performance </w:t>
      </w:r>
      <w:r w:rsidR="003E38D9">
        <w:t>framework</w:t>
      </w:r>
    </w:p>
    <w:p w14:paraId="23337911" w14:textId="2009BAB4" w:rsidR="00E847EE" w:rsidRPr="00E847EE" w:rsidRDefault="00E847EE" w:rsidP="00A4195D">
      <w:pPr>
        <w:rPr>
          <w:rFonts w:eastAsia="Calibri" w:cs="Times New Roman"/>
          <w:color w:val="3B3838"/>
        </w:rPr>
      </w:pPr>
      <w:r w:rsidRPr="00E847EE">
        <w:rPr>
          <w:rFonts w:eastAsia="Calibri" w:cs="Times New Roman"/>
          <w:color w:val="3B3838"/>
        </w:rPr>
        <w:t xml:space="preserve">We established a performance framework, along with a set of key performance indicators (KPIs) in June 2018. The framework focuses on operational practices, rather than matters of policy or legislation. At the highest level, the framework reflects our commitment to </w:t>
      </w:r>
      <w:r w:rsidR="00DB7331">
        <w:rPr>
          <w:rFonts w:eastAsia="Calibri" w:cs="Times New Roman"/>
          <w:color w:val="3B3838"/>
        </w:rPr>
        <w:t>i</w:t>
      </w:r>
      <w:r w:rsidRPr="00E847EE">
        <w:rPr>
          <w:rFonts w:eastAsia="Calibri" w:cs="Times New Roman"/>
          <w:color w:val="3B3838"/>
        </w:rPr>
        <w:t xml:space="preserve">nnovate, manage costs, improve </w:t>
      </w:r>
      <w:proofErr w:type="gramStart"/>
      <w:r w:rsidRPr="00E847EE">
        <w:rPr>
          <w:rFonts w:eastAsia="Calibri" w:cs="Times New Roman"/>
          <w:color w:val="3B3838"/>
        </w:rPr>
        <w:t>productivity</w:t>
      </w:r>
      <w:proofErr w:type="gramEnd"/>
      <w:r w:rsidRPr="00E847EE">
        <w:rPr>
          <w:rFonts w:eastAsia="Calibri" w:cs="Times New Roman"/>
          <w:color w:val="3B3838"/>
        </w:rPr>
        <w:t xml:space="preserve"> and achieve practical outcomes. </w:t>
      </w:r>
    </w:p>
    <w:p w14:paraId="08B85540" w14:textId="77777777" w:rsidR="00E847EE" w:rsidRPr="00E847EE" w:rsidRDefault="00E847EE" w:rsidP="00A4195D">
      <w:pPr>
        <w:rPr>
          <w:rFonts w:eastAsia="Calibri" w:cs="Times New Roman"/>
          <w:color w:val="3B3838"/>
        </w:rPr>
      </w:pPr>
      <w:r w:rsidRPr="00E847EE">
        <w:rPr>
          <w:rFonts w:eastAsia="Calibri" w:cs="Times New Roman"/>
          <w:color w:val="3B3838"/>
        </w:rPr>
        <w:t xml:space="preserve">Four themes underpin our performance objectives. They form the basis for the KPIs: </w:t>
      </w:r>
    </w:p>
    <w:p w14:paraId="22AB2416" w14:textId="304C446A" w:rsidR="00E847EE" w:rsidRPr="00A4195D" w:rsidRDefault="008C6986" w:rsidP="00A4195D">
      <w:pPr>
        <w:pStyle w:val="QCABullet"/>
        <w:ind w:hanging="502"/>
      </w:pPr>
      <w:r>
        <w:t>e</w:t>
      </w:r>
      <w:r w:rsidR="00E847EE" w:rsidRPr="00A4195D">
        <w:t xml:space="preserve">ffective and efficient regulatory outcomes </w:t>
      </w:r>
    </w:p>
    <w:p w14:paraId="1A941D70" w14:textId="78E952BF" w:rsidR="00E847EE" w:rsidRPr="00A4195D" w:rsidRDefault="008C6986" w:rsidP="00A4195D">
      <w:pPr>
        <w:pStyle w:val="QCABullet"/>
        <w:ind w:hanging="502"/>
      </w:pPr>
      <w:r>
        <w:t>t</w:t>
      </w:r>
      <w:r w:rsidR="00E847EE" w:rsidRPr="00A4195D">
        <w:t xml:space="preserve">imely and transparent processes </w:t>
      </w:r>
    </w:p>
    <w:p w14:paraId="3F3A0311" w14:textId="2A186B17" w:rsidR="00E847EE" w:rsidRPr="00A4195D" w:rsidRDefault="008C6986" w:rsidP="00A4195D">
      <w:pPr>
        <w:pStyle w:val="QCABullet"/>
        <w:ind w:hanging="502"/>
      </w:pPr>
      <w:r>
        <w:t>e</w:t>
      </w:r>
      <w:r w:rsidR="00E847EE" w:rsidRPr="00A4195D">
        <w:t xml:space="preserve">fficient and reasonable costs and regulatory fees </w:t>
      </w:r>
    </w:p>
    <w:p w14:paraId="048FBE15" w14:textId="05D11505" w:rsidR="005D7C54" w:rsidRPr="00A4195D" w:rsidRDefault="008C6986" w:rsidP="00A4195D">
      <w:pPr>
        <w:pStyle w:val="QCABullet"/>
        <w:ind w:hanging="502"/>
      </w:pPr>
      <w:r>
        <w:lastRenderedPageBreak/>
        <w:t>e</w:t>
      </w:r>
      <w:r w:rsidR="00E847EE" w:rsidRPr="00A4195D">
        <w:t xml:space="preserve">ffective stakeholder engagement and communication. </w:t>
      </w:r>
      <w:r w:rsidR="000C5B5E" w:rsidRPr="00A4195D">
        <w:t xml:space="preserve"> </w:t>
      </w:r>
    </w:p>
    <w:p w14:paraId="2EC77F29" w14:textId="77777777" w:rsidR="00E847EE" w:rsidRPr="00273B81" w:rsidRDefault="00E847EE" w:rsidP="00E847EE">
      <w:pPr>
        <w:pStyle w:val="Heading3"/>
      </w:pPr>
      <w:r w:rsidRPr="00273B81">
        <w:t>Assessing our performance</w:t>
      </w:r>
    </w:p>
    <w:p w14:paraId="24AAC9D9" w14:textId="101F8B23" w:rsidR="003E38D9" w:rsidRDefault="00270C6B" w:rsidP="00E847EE">
      <w:pPr>
        <w:rPr>
          <w:rFonts w:eastAsia="Calibri" w:cs="Times New Roman"/>
          <w:color w:val="3B3838"/>
        </w:rPr>
      </w:pPr>
      <w:r>
        <w:rPr>
          <w:rFonts w:eastAsia="Calibri" w:cs="Times New Roman"/>
          <w:color w:val="3B3838"/>
        </w:rPr>
        <w:t>A</w:t>
      </w:r>
      <w:r w:rsidR="00E847EE" w:rsidRPr="00D72244">
        <w:rPr>
          <w:rFonts w:eastAsia="Calibri" w:cs="Times New Roman"/>
          <w:color w:val="3B3838"/>
        </w:rPr>
        <w:t>n annual self-assessment and a bi</w:t>
      </w:r>
      <w:r w:rsidR="00E847EE">
        <w:rPr>
          <w:rFonts w:eastAsia="Calibri" w:cs="Times New Roman"/>
          <w:color w:val="3B3838"/>
        </w:rPr>
        <w:t>e</w:t>
      </w:r>
      <w:r w:rsidR="00E847EE" w:rsidRPr="00D72244">
        <w:rPr>
          <w:rFonts w:eastAsia="Calibri" w:cs="Times New Roman"/>
          <w:color w:val="3B3838"/>
        </w:rPr>
        <w:t>nn</w:t>
      </w:r>
      <w:r w:rsidR="00E847EE">
        <w:rPr>
          <w:rFonts w:eastAsia="Calibri" w:cs="Times New Roman"/>
          <w:color w:val="3B3838"/>
        </w:rPr>
        <w:t>i</w:t>
      </w:r>
      <w:r w:rsidR="00E847EE" w:rsidRPr="00D72244">
        <w:rPr>
          <w:rFonts w:eastAsia="Calibri" w:cs="Times New Roman"/>
          <w:color w:val="3B3838"/>
        </w:rPr>
        <w:t>al external review</w:t>
      </w:r>
      <w:r>
        <w:rPr>
          <w:rFonts w:eastAsia="Calibri" w:cs="Times New Roman"/>
          <w:color w:val="3B3838"/>
        </w:rPr>
        <w:t xml:space="preserve"> form part of our performance framework</w:t>
      </w:r>
      <w:r w:rsidR="00E847EE" w:rsidRPr="00D72244">
        <w:rPr>
          <w:rFonts w:eastAsia="Calibri" w:cs="Times New Roman"/>
          <w:color w:val="3B3838"/>
        </w:rPr>
        <w:t xml:space="preserve">. </w:t>
      </w:r>
    </w:p>
    <w:p w14:paraId="36662422" w14:textId="220BDB77" w:rsidR="00E847EE" w:rsidRPr="00D72244" w:rsidRDefault="00E847EE" w:rsidP="00E847EE">
      <w:pPr>
        <w:rPr>
          <w:rFonts w:eastAsia="Calibri" w:cs="Times New Roman"/>
          <w:color w:val="3B3838"/>
        </w:rPr>
      </w:pPr>
      <w:r w:rsidRPr="00D72244">
        <w:rPr>
          <w:rFonts w:eastAsia="Calibri" w:cs="Times New Roman"/>
          <w:color w:val="3B3838"/>
        </w:rPr>
        <w:t xml:space="preserve">The self-assessment is </w:t>
      </w:r>
      <w:r w:rsidR="003E38D9">
        <w:rPr>
          <w:rFonts w:eastAsia="Calibri" w:cs="Times New Roman"/>
          <w:color w:val="3B3838"/>
        </w:rPr>
        <w:t xml:space="preserve">an assessment of each project </w:t>
      </w:r>
      <w:r w:rsidR="00F31519">
        <w:rPr>
          <w:rFonts w:eastAsia="Calibri" w:cs="Times New Roman"/>
          <w:color w:val="3B3838"/>
        </w:rPr>
        <w:t xml:space="preserve">in our work program </w:t>
      </w:r>
      <w:r w:rsidR="003E38D9">
        <w:rPr>
          <w:rFonts w:eastAsia="Calibri" w:cs="Times New Roman"/>
          <w:color w:val="3B3838"/>
        </w:rPr>
        <w:t xml:space="preserve">against </w:t>
      </w:r>
      <w:r w:rsidR="00F31519">
        <w:rPr>
          <w:rFonts w:eastAsia="Calibri" w:cs="Times New Roman"/>
          <w:color w:val="3B3838"/>
        </w:rPr>
        <w:t>all relevant</w:t>
      </w:r>
      <w:r w:rsidR="003E38D9">
        <w:rPr>
          <w:rFonts w:eastAsia="Calibri" w:cs="Times New Roman"/>
          <w:color w:val="3B3838"/>
        </w:rPr>
        <w:t xml:space="preserve"> KPIs</w:t>
      </w:r>
      <w:r w:rsidR="00F31519">
        <w:rPr>
          <w:rFonts w:eastAsia="Calibri" w:cs="Times New Roman"/>
          <w:color w:val="3B3838"/>
        </w:rPr>
        <w:t>.</w:t>
      </w:r>
      <w:r w:rsidR="003E38D9">
        <w:rPr>
          <w:rFonts w:eastAsia="Calibri" w:cs="Times New Roman"/>
          <w:color w:val="3B3838"/>
        </w:rPr>
        <w:t xml:space="preserve"> </w:t>
      </w:r>
      <w:r w:rsidR="00F31519">
        <w:rPr>
          <w:rFonts w:eastAsia="Calibri" w:cs="Times New Roman"/>
          <w:color w:val="3B3838"/>
        </w:rPr>
        <w:t xml:space="preserve">The assessment results are also </w:t>
      </w:r>
      <w:r w:rsidRPr="00D72244">
        <w:rPr>
          <w:rFonts w:eastAsia="Calibri" w:cs="Times New Roman"/>
          <w:color w:val="3B3838"/>
        </w:rPr>
        <w:t xml:space="preserve">peer-reviewed internally and are </w:t>
      </w:r>
      <w:r w:rsidR="00F31519">
        <w:rPr>
          <w:rFonts w:eastAsia="Calibri" w:cs="Times New Roman"/>
          <w:color w:val="3B3838"/>
        </w:rPr>
        <w:t xml:space="preserve">submitted to </w:t>
      </w:r>
      <w:r w:rsidRPr="00D72244">
        <w:rPr>
          <w:rFonts w:eastAsia="Calibri" w:cs="Times New Roman"/>
          <w:color w:val="3B3838"/>
        </w:rPr>
        <w:t xml:space="preserve">the QCA board </w:t>
      </w:r>
      <w:r w:rsidR="00F31519">
        <w:rPr>
          <w:rFonts w:eastAsia="Calibri" w:cs="Times New Roman"/>
          <w:color w:val="3B3838"/>
        </w:rPr>
        <w:t xml:space="preserve">for approval </w:t>
      </w:r>
      <w:r w:rsidRPr="00D72244">
        <w:rPr>
          <w:rFonts w:eastAsia="Calibri" w:cs="Times New Roman"/>
          <w:color w:val="3B3838"/>
        </w:rPr>
        <w:t xml:space="preserve">before they are published. All stakeholders are encouraged to provide feedback and comments following the publication of the annual assessment. </w:t>
      </w:r>
    </w:p>
    <w:p w14:paraId="0784F6D6" w14:textId="7A7FB099" w:rsidR="00E847EE" w:rsidRPr="00D72244" w:rsidRDefault="00E847EE" w:rsidP="00E847EE">
      <w:pPr>
        <w:rPr>
          <w:rFonts w:eastAsia="Calibri" w:cs="Times New Roman"/>
          <w:color w:val="3B3838"/>
        </w:rPr>
      </w:pPr>
      <w:r w:rsidRPr="00D72244">
        <w:rPr>
          <w:rFonts w:eastAsia="Calibri" w:cs="Times New Roman"/>
          <w:color w:val="3B3838"/>
        </w:rPr>
        <w:t>The first bi</w:t>
      </w:r>
      <w:r>
        <w:rPr>
          <w:rFonts w:eastAsia="Calibri" w:cs="Times New Roman"/>
          <w:color w:val="3B3838"/>
        </w:rPr>
        <w:t>e</w:t>
      </w:r>
      <w:r w:rsidRPr="00D72244">
        <w:rPr>
          <w:rFonts w:eastAsia="Calibri" w:cs="Times New Roman"/>
          <w:color w:val="3B3838"/>
        </w:rPr>
        <w:t>nn</w:t>
      </w:r>
      <w:r>
        <w:rPr>
          <w:rFonts w:eastAsia="Calibri" w:cs="Times New Roman"/>
          <w:color w:val="3B3838"/>
        </w:rPr>
        <w:t>i</w:t>
      </w:r>
      <w:r w:rsidRPr="00D72244">
        <w:rPr>
          <w:rFonts w:eastAsia="Calibri" w:cs="Times New Roman"/>
          <w:color w:val="3B3838"/>
        </w:rPr>
        <w:t xml:space="preserve">al review was conducted in July 2020. </w:t>
      </w:r>
      <w:r>
        <w:rPr>
          <w:rFonts w:eastAsia="Calibri" w:cs="Times New Roman"/>
          <w:color w:val="3B3838"/>
        </w:rPr>
        <w:t>Various</w:t>
      </w:r>
      <w:r w:rsidRPr="00D72244">
        <w:rPr>
          <w:rFonts w:eastAsia="Calibri" w:cs="Times New Roman"/>
          <w:color w:val="3B3838"/>
        </w:rPr>
        <w:t xml:space="preserve"> stakeholders </w:t>
      </w:r>
      <w:r>
        <w:rPr>
          <w:rFonts w:eastAsia="Calibri" w:cs="Times New Roman"/>
          <w:color w:val="3B3838"/>
        </w:rPr>
        <w:t>were invited to participate, including</w:t>
      </w:r>
      <w:r w:rsidRPr="00D72244">
        <w:rPr>
          <w:rFonts w:eastAsia="Calibri" w:cs="Times New Roman"/>
          <w:color w:val="3B3838"/>
        </w:rPr>
        <w:t xml:space="preserve"> entities regulated by </w:t>
      </w:r>
      <w:r>
        <w:rPr>
          <w:rFonts w:eastAsia="Calibri" w:cs="Times New Roman"/>
          <w:color w:val="3B3838"/>
        </w:rPr>
        <w:t>us</w:t>
      </w:r>
      <w:r w:rsidRPr="00D72244">
        <w:rPr>
          <w:rFonts w:eastAsia="Calibri" w:cs="Times New Roman"/>
          <w:color w:val="3B3838"/>
        </w:rPr>
        <w:t xml:space="preserve">, customers of those entities, special interest and advocacy groups, </w:t>
      </w:r>
      <w:r>
        <w:rPr>
          <w:rFonts w:eastAsia="Calibri" w:cs="Times New Roman"/>
          <w:color w:val="3B3838"/>
        </w:rPr>
        <w:t>our</w:t>
      </w:r>
      <w:r w:rsidRPr="00D72244">
        <w:rPr>
          <w:rFonts w:eastAsia="Calibri" w:cs="Times New Roman"/>
          <w:color w:val="3B3838"/>
        </w:rPr>
        <w:t xml:space="preserve"> Consumer Advisory Committee and government representatives. </w:t>
      </w:r>
      <w:r>
        <w:rPr>
          <w:rFonts w:eastAsia="Calibri" w:cs="Times New Roman"/>
          <w:color w:val="3B3838"/>
        </w:rPr>
        <w:t>The results were published on our website. The next review is scheduled for July 2022.</w:t>
      </w:r>
    </w:p>
    <w:p w14:paraId="3804CAC3" w14:textId="0C97BC3A" w:rsidR="00E847EE" w:rsidRPr="00273B81" w:rsidRDefault="003E38D9" w:rsidP="00E847EE">
      <w:pPr>
        <w:pStyle w:val="Heading3"/>
      </w:pPr>
      <w:r>
        <w:t>Performance results for 2020–21</w:t>
      </w:r>
    </w:p>
    <w:p w14:paraId="42CC89ED" w14:textId="7E36D638" w:rsidR="00FC2EFA" w:rsidRDefault="00E847EE" w:rsidP="00F31519">
      <w:pPr>
        <w:spacing w:after="60"/>
        <w:rPr>
          <w:rFonts w:eastAsia="Calibri" w:cs="Times New Roman"/>
          <w:color w:val="3B3838"/>
        </w:rPr>
      </w:pPr>
      <w:r w:rsidRPr="00273B81">
        <w:rPr>
          <w:rFonts w:eastAsia="Calibri" w:cs="Times New Roman"/>
          <w:color w:val="3B3838"/>
        </w:rPr>
        <w:t>A snapshot of our performance results for 20</w:t>
      </w:r>
      <w:r>
        <w:rPr>
          <w:rFonts w:eastAsia="Calibri" w:cs="Times New Roman"/>
          <w:color w:val="3B3838"/>
        </w:rPr>
        <w:t>20</w:t>
      </w:r>
      <w:r w:rsidRPr="00273B81">
        <w:rPr>
          <w:rFonts w:eastAsia="Calibri" w:cs="Times New Roman"/>
          <w:color w:val="3B3838"/>
        </w:rPr>
        <w:t>–2</w:t>
      </w:r>
      <w:r>
        <w:rPr>
          <w:rFonts w:eastAsia="Calibri" w:cs="Times New Roman"/>
          <w:color w:val="3B3838"/>
        </w:rPr>
        <w:t>1</w:t>
      </w:r>
      <w:r w:rsidRPr="00273B81">
        <w:rPr>
          <w:rFonts w:eastAsia="Calibri" w:cs="Times New Roman"/>
          <w:color w:val="3B3838"/>
        </w:rPr>
        <w:t xml:space="preserve"> is shown below.</w:t>
      </w:r>
      <w:r w:rsidR="0006032F">
        <w:rPr>
          <w:rFonts w:eastAsia="Calibri" w:cs="Times New Roman"/>
          <w:color w:val="3B3838"/>
        </w:rPr>
        <w:t xml:space="preserve"> Each of the 9 projects had a different set of circumstances and requirements. Some were guided by ministerial </w:t>
      </w:r>
      <w:proofErr w:type="gramStart"/>
      <w:r w:rsidR="0006032F">
        <w:rPr>
          <w:rFonts w:eastAsia="Calibri" w:cs="Times New Roman"/>
          <w:color w:val="3B3838"/>
        </w:rPr>
        <w:t>direction</w:t>
      </w:r>
      <w:r w:rsidR="0035779D">
        <w:rPr>
          <w:rFonts w:eastAsia="Calibri" w:cs="Times New Roman"/>
          <w:color w:val="3B3838"/>
        </w:rPr>
        <w:t>s</w:t>
      </w:r>
      <w:r w:rsidR="0006032F">
        <w:rPr>
          <w:rFonts w:eastAsia="Calibri" w:cs="Times New Roman"/>
          <w:color w:val="3B3838"/>
        </w:rPr>
        <w:t>,</w:t>
      </w:r>
      <w:proofErr w:type="gramEnd"/>
      <w:r w:rsidR="0006032F">
        <w:rPr>
          <w:rFonts w:eastAsia="Calibri" w:cs="Times New Roman"/>
          <w:color w:val="3B3838"/>
        </w:rPr>
        <w:t xml:space="preserve"> others were </w:t>
      </w:r>
      <w:r w:rsidR="005267A8">
        <w:rPr>
          <w:rFonts w:eastAsia="Calibri" w:cs="Times New Roman"/>
          <w:color w:val="3B3838"/>
        </w:rPr>
        <w:t>statutory reviews and research and development projects.</w:t>
      </w:r>
      <w:r w:rsidR="0006032F">
        <w:rPr>
          <w:rFonts w:eastAsia="Calibri" w:cs="Times New Roman"/>
          <w:color w:val="3B3838"/>
        </w:rPr>
        <w:t xml:space="preserve"> Therefore, not all KPIs applied to all of them.</w:t>
      </w:r>
    </w:p>
    <w:p w14:paraId="4D41D37A" w14:textId="17CDC994" w:rsidR="00F31519" w:rsidRPr="00F557CB" w:rsidRDefault="00F31519" w:rsidP="00F557CB">
      <w:pPr>
        <w:spacing w:after="60"/>
        <w:rPr>
          <w:rFonts w:eastAsia="Calibri" w:cs="Times New Roman"/>
          <w:color w:val="3B3838"/>
        </w:rPr>
      </w:pPr>
      <w:r w:rsidRPr="00F31519">
        <w:rPr>
          <w:rFonts w:eastAsia="Calibri" w:cs="Times New Roman"/>
          <w:color w:val="3B3838"/>
        </w:rPr>
        <w:t>Overall, relevant project key performance</w:t>
      </w:r>
      <w:r w:rsidR="008A4521">
        <w:rPr>
          <w:rFonts w:eastAsia="Calibri" w:cs="Times New Roman"/>
          <w:color w:val="3B3838"/>
        </w:rPr>
        <w:t xml:space="preserve"> targets</w:t>
      </w:r>
      <w:r w:rsidRPr="00F31519">
        <w:rPr>
          <w:rFonts w:eastAsia="Calibri" w:cs="Times New Roman"/>
          <w:color w:val="3B3838"/>
        </w:rPr>
        <w:t xml:space="preserve"> were achieved. Where we did not meet our performance targets, it was mainly due to the ongoing challenges with the global pandemic in delivering a series of regional workshops and meetings. This was overcome </w:t>
      </w:r>
      <w:r>
        <w:rPr>
          <w:rFonts w:eastAsia="Calibri" w:cs="Times New Roman"/>
          <w:color w:val="3B3838"/>
        </w:rPr>
        <w:t xml:space="preserve">by using </w:t>
      </w:r>
      <w:r w:rsidRPr="00F31519">
        <w:rPr>
          <w:rFonts w:eastAsia="Calibri" w:cs="Times New Roman"/>
          <w:color w:val="3B3838"/>
        </w:rPr>
        <w:t>virtual meetings and workshops.</w:t>
      </w:r>
    </w:p>
    <w:p w14:paraId="4A236C10" w14:textId="3B077802" w:rsidR="004058E9" w:rsidRDefault="004058E9">
      <w:pPr>
        <w:spacing w:before="0" w:after="160" w:line="259" w:lineRule="auto"/>
      </w:pPr>
    </w:p>
    <w:p w14:paraId="21552845" w14:textId="5AF6AB6B" w:rsidR="00116E5A" w:rsidRDefault="00116E5A">
      <w:pPr>
        <w:spacing w:before="0" w:after="160" w:line="259" w:lineRule="auto"/>
      </w:pPr>
    </w:p>
    <w:p w14:paraId="441B053B" w14:textId="5BA48EB6" w:rsidR="00116E5A" w:rsidRDefault="00116E5A">
      <w:pPr>
        <w:spacing w:before="0" w:after="160" w:line="259" w:lineRule="auto"/>
      </w:pPr>
    </w:p>
    <w:p w14:paraId="5303B3A2" w14:textId="500F2DAF" w:rsidR="00116E5A" w:rsidRDefault="00116E5A">
      <w:pPr>
        <w:spacing w:before="0" w:after="160" w:line="259" w:lineRule="auto"/>
      </w:pPr>
    </w:p>
    <w:p w14:paraId="715878A0" w14:textId="6A187B19" w:rsidR="00116E5A" w:rsidRDefault="00116E5A">
      <w:pPr>
        <w:spacing w:before="0" w:after="160" w:line="259" w:lineRule="auto"/>
      </w:pPr>
    </w:p>
    <w:p w14:paraId="48375A5A" w14:textId="0E921A98" w:rsidR="00116E5A" w:rsidRDefault="00116E5A">
      <w:pPr>
        <w:spacing w:before="0" w:after="160" w:line="259" w:lineRule="auto"/>
      </w:pPr>
    </w:p>
    <w:p w14:paraId="16130247" w14:textId="724B1516" w:rsidR="00116E5A" w:rsidRDefault="00116E5A">
      <w:pPr>
        <w:spacing w:before="0" w:after="160" w:line="259" w:lineRule="auto"/>
      </w:pPr>
    </w:p>
    <w:p w14:paraId="4574EF25" w14:textId="5EF018EE" w:rsidR="00116E5A" w:rsidRDefault="00116E5A">
      <w:pPr>
        <w:spacing w:before="0" w:after="160" w:line="259" w:lineRule="auto"/>
      </w:pPr>
    </w:p>
    <w:p w14:paraId="3BF9431E" w14:textId="6490BBE0" w:rsidR="00E847EE" w:rsidRDefault="00E847EE">
      <w:pPr>
        <w:spacing w:before="0" w:after="160" w:line="259" w:lineRule="auto"/>
      </w:pPr>
    </w:p>
    <w:p w14:paraId="1F846262" w14:textId="34BF138F" w:rsidR="00E847EE" w:rsidRDefault="00E847EE">
      <w:pPr>
        <w:spacing w:before="0" w:after="160" w:line="259" w:lineRule="auto"/>
      </w:pPr>
    </w:p>
    <w:p w14:paraId="215E1324" w14:textId="31111CC7" w:rsidR="00E847EE" w:rsidRDefault="00E847EE">
      <w:pPr>
        <w:spacing w:before="0" w:after="160" w:line="259" w:lineRule="auto"/>
      </w:pPr>
    </w:p>
    <w:p w14:paraId="7889C9D1" w14:textId="59105AB9" w:rsidR="00E847EE" w:rsidRDefault="00E847EE">
      <w:pPr>
        <w:spacing w:before="0" w:after="160" w:line="259" w:lineRule="auto"/>
      </w:pPr>
    </w:p>
    <w:p w14:paraId="63755887" w14:textId="27D20D69" w:rsidR="00E847EE" w:rsidRDefault="00E847EE">
      <w:pPr>
        <w:spacing w:before="0" w:after="160" w:line="259" w:lineRule="auto"/>
      </w:pPr>
    </w:p>
    <w:p w14:paraId="40592ADE" w14:textId="37CE698E" w:rsidR="00E847EE" w:rsidRDefault="00E847EE">
      <w:pPr>
        <w:spacing w:before="0" w:after="160" w:line="259" w:lineRule="auto"/>
      </w:pPr>
    </w:p>
    <w:p w14:paraId="04B43D70" w14:textId="11A5A4CB" w:rsidR="00E847EE" w:rsidRDefault="00E847EE">
      <w:pPr>
        <w:spacing w:before="0" w:after="160" w:line="259" w:lineRule="auto"/>
      </w:pPr>
    </w:p>
    <w:p w14:paraId="1AAFAE94" w14:textId="60C92B65" w:rsidR="00E847EE" w:rsidRDefault="00E847EE">
      <w:pPr>
        <w:spacing w:before="0" w:after="160" w:line="259" w:lineRule="auto"/>
      </w:pPr>
    </w:p>
    <w:p w14:paraId="2092B469" w14:textId="371FD725" w:rsidR="00E847EE" w:rsidRDefault="00E847EE">
      <w:pPr>
        <w:spacing w:before="0" w:after="160" w:line="259" w:lineRule="auto"/>
      </w:pPr>
    </w:p>
    <w:p w14:paraId="5B8D665B" w14:textId="5A9C8893" w:rsidR="00E847EE" w:rsidRDefault="00E847EE">
      <w:pPr>
        <w:spacing w:before="0" w:after="160" w:line="259" w:lineRule="auto"/>
      </w:pPr>
    </w:p>
    <w:p w14:paraId="42304F3C" w14:textId="525C96D9" w:rsidR="00E847EE" w:rsidRDefault="00E847EE">
      <w:pPr>
        <w:spacing w:before="0" w:after="160" w:line="259" w:lineRule="auto"/>
      </w:pPr>
    </w:p>
    <w:p w14:paraId="4513EBCE" w14:textId="284A2A09" w:rsidR="00E847EE" w:rsidRDefault="00E847EE">
      <w:pPr>
        <w:spacing w:before="0" w:after="160" w:line="259" w:lineRule="auto"/>
      </w:pPr>
    </w:p>
    <w:p w14:paraId="403B59D6" w14:textId="3FF233EB" w:rsidR="00E847EE" w:rsidRDefault="00E847EE">
      <w:pPr>
        <w:spacing w:before="0" w:after="160" w:line="259" w:lineRule="auto"/>
      </w:pPr>
    </w:p>
    <w:p w14:paraId="49BE9BA8" w14:textId="30665B57" w:rsidR="00E847EE" w:rsidRDefault="00E847EE">
      <w:pPr>
        <w:spacing w:before="0" w:after="160" w:line="259" w:lineRule="auto"/>
      </w:pPr>
    </w:p>
    <w:p w14:paraId="61CAF43E" w14:textId="4208CDFB" w:rsidR="00E847EE" w:rsidRDefault="00E847EE">
      <w:pPr>
        <w:spacing w:before="0" w:after="160" w:line="259" w:lineRule="auto"/>
      </w:pPr>
    </w:p>
    <w:p w14:paraId="66D2FFC1" w14:textId="47AA8CB1" w:rsidR="00E847EE" w:rsidRDefault="00E847EE">
      <w:pPr>
        <w:spacing w:before="0" w:after="160" w:line="259" w:lineRule="auto"/>
      </w:pPr>
    </w:p>
    <w:p w14:paraId="74E44C9F" w14:textId="755C664C" w:rsidR="00E847EE" w:rsidRDefault="00E847EE">
      <w:pPr>
        <w:spacing w:before="0" w:after="160" w:line="259" w:lineRule="auto"/>
      </w:pPr>
    </w:p>
    <w:p w14:paraId="74CD593B" w14:textId="04E534BB" w:rsidR="00E847EE" w:rsidRDefault="00E847EE">
      <w:pPr>
        <w:spacing w:before="0" w:after="160" w:line="259" w:lineRule="auto"/>
      </w:pPr>
    </w:p>
    <w:p w14:paraId="6824ACFE" w14:textId="620D7BEA" w:rsidR="00E847EE" w:rsidRDefault="00E847EE">
      <w:pPr>
        <w:spacing w:before="0" w:after="160" w:line="259" w:lineRule="auto"/>
      </w:pPr>
    </w:p>
    <w:p w14:paraId="3A57B293" w14:textId="516A80D3" w:rsidR="00E847EE" w:rsidRDefault="00E847EE">
      <w:pPr>
        <w:spacing w:before="0" w:after="160" w:line="259" w:lineRule="auto"/>
      </w:pPr>
    </w:p>
    <w:p w14:paraId="7DDD0D2B" w14:textId="77777777" w:rsidR="00E847EE" w:rsidRDefault="00E847EE">
      <w:pPr>
        <w:spacing w:before="0" w:after="160" w:line="259" w:lineRule="auto"/>
      </w:pPr>
    </w:p>
    <w:p w14:paraId="250A2A82" w14:textId="77777777" w:rsidR="004B6283" w:rsidRDefault="004B6283">
      <w:pPr>
        <w:spacing w:before="0" w:after="160" w:line="259" w:lineRule="auto"/>
        <w:sectPr w:rsidR="004B6283" w:rsidSect="004058E9">
          <w:footerReference w:type="default" r:id="rId31"/>
          <w:type w:val="continuous"/>
          <w:pgSz w:w="11907" w:h="16840" w:code="9"/>
          <w:pgMar w:top="1134" w:right="1134" w:bottom="1134" w:left="1134" w:header="510" w:footer="510" w:gutter="0"/>
          <w:cols w:num="2" w:space="720"/>
          <w:docGrid w:linePitch="272"/>
        </w:sectPr>
      </w:pPr>
    </w:p>
    <w:bookmarkEnd w:id="172"/>
    <w:p w14:paraId="018725E4" w14:textId="4D24BC34" w:rsidR="00381567" w:rsidRDefault="000F4A0A" w:rsidP="00F557CB">
      <w:pPr>
        <w:pStyle w:val="CaptionIndent"/>
        <w:ind w:left="0" w:firstLine="0"/>
      </w:pPr>
      <w:r>
        <w:lastRenderedPageBreak/>
        <w:t xml:space="preserve">Performance assessment </w:t>
      </w:r>
      <w:r w:rsidR="00624A71">
        <w:t>against KPIs, 2020–21</w:t>
      </w:r>
    </w:p>
    <w:p w14:paraId="166EAEDE" w14:textId="5171550D" w:rsidR="000F4A0A" w:rsidRDefault="000F4A0A">
      <w:pPr>
        <w:spacing w:before="0" w:after="160" w:line="259" w:lineRule="auto"/>
      </w:pPr>
      <w:r>
        <w:rPr>
          <w:noProof/>
        </w:rPr>
        <w:drawing>
          <wp:inline distT="0" distB="0" distL="0" distR="0" wp14:anchorId="62977CA0" wp14:editId="368CC514">
            <wp:extent cx="7523906" cy="5224780"/>
            <wp:effectExtent l="0" t="0" r="1270"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rotWithShape="1">
                    <a:blip r:embed="rId32" cstate="print">
                      <a:extLst>
                        <a:ext uri="{28A0092B-C50C-407E-A947-70E740481C1C}">
                          <a14:useLocalDpi xmlns:a14="http://schemas.microsoft.com/office/drawing/2010/main" val="0"/>
                        </a:ext>
                      </a:extLst>
                    </a:blip>
                    <a:srcRect l="209" t="9140" r="17349" b="9897"/>
                    <a:stretch/>
                  </pic:blipFill>
                  <pic:spPr bwMode="auto">
                    <a:xfrm>
                      <a:off x="0" y="0"/>
                      <a:ext cx="7540461" cy="5236276"/>
                    </a:xfrm>
                    <a:prstGeom prst="rect">
                      <a:avLst/>
                    </a:prstGeom>
                    <a:ln>
                      <a:noFill/>
                    </a:ln>
                    <a:extLst>
                      <a:ext uri="{53640926-AAD7-44D8-BBD7-CCE9431645EC}">
                        <a14:shadowObscured xmlns:a14="http://schemas.microsoft.com/office/drawing/2010/main"/>
                      </a:ext>
                    </a:extLst>
                  </pic:spPr>
                </pic:pic>
              </a:graphicData>
            </a:graphic>
          </wp:inline>
        </w:drawing>
      </w:r>
    </w:p>
    <w:p w14:paraId="3265A6A7" w14:textId="6965DF64" w:rsidR="003228E4" w:rsidRDefault="003228E4" w:rsidP="00085C3D">
      <w:pPr>
        <w:pStyle w:val="Heading2"/>
      </w:pPr>
      <w:bookmarkStart w:id="177" w:name="_Toc80792962"/>
      <w:r>
        <w:lastRenderedPageBreak/>
        <w:t>Projects undertaken in 2020</w:t>
      </w:r>
      <w:r w:rsidR="00C162E6">
        <w:t>–</w:t>
      </w:r>
      <w:r>
        <w:t>21</w:t>
      </w:r>
      <w:bookmarkEnd w:id="177"/>
    </w:p>
    <w:p w14:paraId="0B86452C" w14:textId="47138063" w:rsidR="003228E4" w:rsidRDefault="00C4610B">
      <w:pPr>
        <w:spacing w:before="0" w:after="160" w:line="259" w:lineRule="auto"/>
      </w:pPr>
      <w:r>
        <w:t xml:space="preserve">Further details regarding our project performance </w:t>
      </w:r>
      <w:r w:rsidR="00C162E6">
        <w:t>are</w:t>
      </w:r>
      <w:r>
        <w:t xml:space="preserve"> included in the </w:t>
      </w:r>
      <w:r w:rsidR="00F13A70">
        <w:t xml:space="preserve">table below. </w:t>
      </w:r>
      <w:r w:rsidR="00F316AA">
        <w:t xml:space="preserve">This table expands on </w:t>
      </w:r>
      <w:r w:rsidR="00F13A70">
        <w:t>the figure above</w:t>
      </w:r>
      <w:r w:rsidR="00F316AA">
        <w:t xml:space="preserve"> by giving more details about how each project performed against our KPIs. Information about the financial performance is not listed </w:t>
      </w:r>
      <w:r w:rsidR="005267A8">
        <w:t>and</w:t>
      </w:r>
      <w:r w:rsidR="00F316AA">
        <w:t xml:space="preserve"> is captured above.</w:t>
      </w:r>
    </w:p>
    <w:p w14:paraId="1EF15309" w14:textId="5A1C7150" w:rsidR="00624A71" w:rsidRDefault="00624A71" w:rsidP="00F557CB">
      <w:pPr>
        <w:pStyle w:val="CaptionIndent"/>
        <w:ind w:left="0" w:firstLine="0"/>
      </w:pPr>
      <w:r>
        <w:t>Performance assessment by project, 2020–21</w:t>
      </w:r>
    </w:p>
    <w:tbl>
      <w:tblPr>
        <w:tblStyle w:val="TableGrid"/>
        <w:tblW w:w="0" w:type="auto"/>
        <w:tblInd w:w="10" w:type="dxa"/>
        <w:tblBorders>
          <w:top w:val="none" w:sz="0" w:space="0" w:color="auto"/>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8"/>
        <w:gridCol w:w="2977"/>
        <w:gridCol w:w="1418"/>
        <w:gridCol w:w="7295"/>
      </w:tblGrid>
      <w:tr w:rsidR="00485B9D" w:rsidRPr="00534D9C" w14:paraId="4803721B" w14:textId="77777777" w:rsidTr="00F4303F">
        <w:trPr>
          <w:tblHeader/>
        </w:trPr>
        <w:tc>
          <w:tcPr>
            <w:tcW w:w="2258" w:type="dxa"/>
            <w:tcBorders>
              <w:top w:val="single" w:sz="4" w:space="0" w:color="D9D9D9" w:themeColor="background1" w:themeShade="D9"/>
            </w:tcBorders>
            <w:shd w:val="clear" w:color="auto" w:fill="F2F2F2" w:themeFill="background1" w:themeFillShade="F2"/>
            <w:noWrap/>
            <w:hideMark/>
          </w:tcPr>
          <w:p w14:paraId="74D625F9" w14:textId="77777777" w:rsidR="00485B9D" w:rsidRPr="00F557CB" w:rsidRDefault="00485B9D" w:rsidP="00F4303F">
            <w:pPr>
              <w:ind w:right="-152"/>
              <w:rPr>
                <w:b/>
                <w:sz w:val="19"/>
                <w:szCs w:val="19"/>
              </w:rPr>
            </w:pPr>
            <w:r w:rsidRPr="00F557CB">
              <w:rPr>
                <w:b/>
                <w:sz w:val="19"/>
                <w:szCs w:val="19"/>
              </w:rPr>
              <w:t xml:space="preserve">Project </w:t>
            </w:r>
          </w:p>
        </w:tc>
        <w:tc>
          <w:tcPr>
            <w:tcW w:w="2977" w:type="dxa"/>
            <w:tcBorders>
              <w:top w:val="single" w:sz="4" w:space="0" w:color="D9D9D9" w:themeColor="background1" w:themeShade="D9"/>
            </w:tcBorders>
            <w:shd w:val="clear" w:color="auto" w:fill="F2F2F2" w:themeFill="background1" w:themeFillShade="F2"/>
            <w:noWrap/>
            <w:hideMark/>
          </w:tcPr>
          <w:p w14:paraId="567BC2C9" w14:textId="77777777" w:rsidR="00485B9D" w:rsidRPr="00F557CB" w:rsidRDefault="00485B9D" w:rsidP="00F4303F">
            <w:pPr>
              <w:rPr>
                <w:b/>
                <w:sz w:val="19"/>
                <w:szCs w:val="19"/>
              </w:rPr>
            </w:pPr>
            <w:r w:rsidRPr="00F557CB">
              <w:rPr>
                <w:b/>
                <w:sz w:val="19"/>
                <w:szCs w:val="19"/>
              </w:rPr>
              <w:t>Background</w:t>
            </w:r>
          </w:p>
        </w:tc>
        <w:tc>
          <w:tcPr>
            <w:tcW w:w="1418" w:type="dxa"/>
            <w:tcBorders>
              <w:top w:val="single" w:sz="4" w:space="0" w:color="D9D9D9" w:themeColor="background1" w:themeShade="D9"/>
            </w:tcBorders>
            <w:shd w:val="clear" w:color="auto" w:fill="F2F2F2" w:themeFill="background1" w:themeFillShade="F2"/>
            <w:noWrap/>
            <w:hideMark/>
          </w:tcPr>
          <w:p w14:paraId="64EC6BAA" w14:textId="77777777" w:rsidR="00485B9D" w:rsidRPr="00F557CB" w:rsidRDefault="00485B9D" w:rsidP="00F4303F">
            <w:pPr>
              <w:rPr>
                <w:b/>
                <w:sz w:val="19"/>
                <w:szCs w:val="19"/>
              </w:rPr>
            </w:pPr>
            <w:r w:rsidRPr="00F557CB">
              <w:rPr>
                <w:b/>
                <w:sz w:val="19"/>
                <w:szCs w:val="19"/>
              </w:rPr>
              <w:t>Status</w:t>
            </w:r>
          </w:p>
        </w:tc>
        <w:tc>
          <w:tcPr>
            <w:tcW w:w="7295" w:type="dxa"/>
            <w:tcBorders>
              <w:top w:val="single" w:sz="4" w:space="0" w:color="D9D9D9" w:themeColor="background1" w:themeShade="D9"/>
            </w:tcBorders>
            <w:shd w:val="clear" w:color="auto" w:fill="F2F2F2" w:themeFill="background1" w:themeFillShade="F2"/>
            <w:hideMark/>
          </w:tcPr>
          <w:p w14:paraId="5CEB4002" w14:textId="35331EA1" w:rsidR="00485B9D" w:rsidRPr="00F557CB" w:rsidRDefault="00624A71" w:rsidP="00F4303F">
            <w:pPr>
              <w:rPr>
                <w:b/>
                <w:sz w:val="19"/>
                <w:szCs w:val="19"/>
              </w:rPr>
            </w:pPr>
            <w:r w:rsidRPr="00F557CB">
              <w:rPr>
                <w:b/>
                <w:sz w:val="19"/>
                <w:szCs w:val="19"/>
              </w:rPr>
              <w:t>Performance against KPIs</w:t>
            </w:r>
          </w:p>
        </w:tc>
      </w:tr>
      <w:tr w:rsidR="00485B9D" w:rsidRPr="00197162" w14:paraId="54910DED" w14:textId="77777777" w:rsidTr="00F4303F">
        <w:tc>
          <w:tcPr>
            <w:tcW w:w="2258" w:type="dxa"/>
            <w:hideMark/>
          </w:tcPr>
          <w:p w14:paraId="473D466E" w14:textId="77777777" w:rsidR="00485B9D" w:rsidRPr="00F557CB" w:rsidRDefault="00485B9D" w:rsidP="00F4303F">
            <w:pPr>
              <w:rPr>
                <w:sz w:val="19"/>
                <w:szCs w:val="19"/>
              </w:rPr>
            </w:pPr>
            <w:r w:rsidRPr="00F557CB">
              <w:rPr>
                <w:sz w:val="19"/>
                <w:szCs w:val="19"/>
              </w:rPr>
              <w:t>Aurizon Network’s Maintenance and Cross System Voting draft amending access undertaking (DAAU)</w:t>
            </w:r>
          </w:p>
          <w:p w14:paraId="14C3D4E3" w14:textId="77777777" w:rsidR="00485B9D" w:rsidRPr="00F557CB" w:rsidRDefault="00485B9D" w:rsidP="00F4303F">
            <w:pPr>
              <w:rPr>
                <w:sz w:val="19"/>
                <w:szCs w:val="19"/>
              </w:rPr>
            </w:pPr>
            <w:r w:rsidRPr="00F557CB">
              <w:rPr>
                <w:sz w:val="19"/>
                <w:szCs w:val="19"/>
              </w:rPr>
              <w:t> </w:t>
            </w:r>
          </w:p>
        </w:tc>
        <w:tc>
          <w:tcPr>
            <w:tcW w:w="2977" w:type="dxa"/>
            <w:hideMark/>
          </w:tcPr>
          <w:p w14:paraId="37CAC3A9" w14:textId="77777777" w:rsidR="00485B9D" w:rsidRPr="00F557CB" w:rsidRDefault="00485B9D" w:rsidP="00F4303F">
            <w:pPr>
              <w:rPr>
                <w:sz w:val="19"/>
                <w:szCs w:val="19"/>
              </w:rPr>
            </w:pPr>
            <w:r w:rsidRPr="00F557CB">
              <w:rPr>
                <w:sz w:val="19"/>
                <w:szCs w:val="19"/>
              </w:rPr>
              <w:t>Aurizon Network proposed to amend the maintenance costs approval criteria in its access undertaking, including providing for voting rights to cross-system train services.</w:t>
            </w:r>
          </w:p>
          <w:p w14:paraId="78C0F0E6" w14:textId="77777777" w:rsidR="00485B9D" w:rsidRPr="00F557CB" w:rsidRDefault="00485B9D" w:rsidP="00F4303F">
            <w:pPr>
              <w:rPr>
                <w:sz w:val="19"/>
                <w:szCs w:val="19"/>
              </w:rPr>
            </w:pPr>
            <w:r w:rsidRPr="00F557CB">
              <w:rPr>
                <w:sz w:val="19"/>
                <w:szCs w:val="19"/>
              </w:rPr>
              <w:t> </w:t>
            </w:r>
          </w:p>
        </w:tc>
        <w:tc>
          <w:tcPr>
            <w:tcW w:w="1418" w:type="dxa"/>
            <w:hideMark/>
          </w:tcPr>
          <w:p w14:paraId="1CE6A4D6" w14:textId="77777777" w:rsidR="00485B9D" w:rsidRPr="00F557CB" w:rsidRDefault="00485B9D" w:rsidP="00F4303F">
            <w:pPr>
              <w:rPr>
                <w:sz w:val="19"/>
                <w:szCs w:val="19"/>
              </w:rPr>
            </w:pPr>
            <w:r w:rsidRPr="00F557CB">
              <w:rPr>
                <w:sz w:val="19"/>
                <w:szCs w:val="19"/>
              </w:rPr>
              <w:t>Completed</w:t>
            </w:r>
          </w:p>
          <w:p w14:paraId="574E7431" w14:textId="77777777" w:rsidR="00485B9D" w:rsidRPr="00F557CB" w:rsidRDefault="00485B9D" w:rsidP="00F4303F">
            <w:pPr>
              <w:rPr>
                <w:sz w:val="19"/>
                <w:szCs w:val="19"/>
              </w:rPr>
            </w:pPr>
            <w:r w:rsidRPr="00F557CB">
              <w:rPr>
                <w:sz w:val="19"/>
                <w:szCs w:val="19"/>
              </w:rPr>
              <w:t> </w:t>
            </w:r>
          </w:p>
        </w:tc>
        <w:tc>
          <w:tcPr>
            <w:tcW w:w="7295" w:type="dxa"/>
            <w:hideMark/>
          </w:tcPr>
          <w:p w14:paraId="77CC5C75" w14:textId="77777777" w:rsidR="00485B9D" w:rsidRPr="00F557CB" w:rsidRDefault="00485B9D" w:rsidP="00F4303F">
            <w:pPr>
              <w:spacing w:after="120"/>
              <w:contextualSpacing/>
              <w:rPr>
                <w:sz w:val="19"/>
                <w:szCs w:val="19"/>
              </w:rPr>
            </w:pPr>
            <w:r w:rsidRPr="00F557CB">
              <w:rPr>
                <w:b/>
                <w:bCs/>
                <w:sz w:val="19"/>
                <w:szCs w:val="19"/>
              </w:rPr>
              <w:t xml:space="preserve">Timeliness and transparency: </w:t>
            </w:r>
            <w:r w:rsidRPr="00F557CB">
              <w:rPr>
                <w:sz w:val="19"/>
                <w:szCs w:val="19"/>
              </w:rPr>
              <w:t xml:space="preserve">Aurizon Network submitted the Maintenance and Cross-system Voting DAAU in September 2020. We provided a final decision the following month, in October—under the QCA Act, we must endeavour to </w:t>
            </w:r>
            <w:proofErr w:type="gramStart"/>
            <w:r w:rsidRPr="00F557CB">
              <w:rPr>
                <w:sz w:val="19"/>
                <w:szCs w:val="19"/>
              </w:rPr>
              <w:t>make a decision</w:t>
            </w:r>
            <w:proofErr w:type="gramEnd"/>
            <w:r w:rsidRPr="00F557CB">
              <w:rPr>
                <w:sz w:val="19"/>
                <w:szCs w:val="19"/>
              </w:rPr>
              <w:t xml:space="preserve"> within six months. Before making our decision, we published the DAAU, invited submissions and considered the submissions we received, as required by the QCA Act. The speed of our decision can be attributed to the cooperation between all stakeholders, and our processes, which allow us to rapidly assess a DAAU and support a collaborative approach.</w:t>
            </w:r>
          </w:p>
          <w:p w14:paraId="7603DA7A" w14:textId="77777777" w:rsidR="00485B9D" w:rsidRPr="00F557CB" w:rsidRDefault="00485B9D" w:rsidP="00F4303F">
            <w:pPr>
              <w:spacing w:after="120"/>
              <w:contextualSpacing/>
              <w:rPr>
                <w:sz w:val="19"/>
                <w:szCs w:val="19"/>
              </w:rPr>
            </w:pPr>
            <w:r w:rsidRPr="00F557CB">
              <w:rPr>
                <w:b/>
                <w:bCs/>
                <w:sz w:val="19"/>
                <w:szCs w:val="19"/>
              </w:rPr>
              <w:t xml:space="preserve">Stakeholder engagement: </w:t>
            </w:r>
            <w:r w:rsidRPr="00F557CB">
              <w:rPr>
                <w:bCs/>
                <w:sz w:val="19"/>
                <w:szCs w:val="19"/>
              </w:rPr>
              <w:t>We</w:t>
            </w:r>
            <w:r w:rsidRPr="00F557CB">
              <w:rPr>
                <w:sz w:val="19"/>
                <w:szCs w:val="19"/>
              </w:rPr>
              <w:t xml:space="preserve"> provided time, as required under the QCA Act, for stakeholders to comment during our consultation process. We received a letter from the Queensland Resources Council (QRC) and </w:t>
            </w:r>
            <w:proofErr w:type="spellStart"/>
            <w:r w:rsidRPr="00F557CB">
              <w:rPr>
                <w:sz w:val="19"/>
                <w:szCs w:val="19"/>
              </w:rPr>
              <w:t>Jellinbah</w:t>
            </w:r>
            <w:proofErr w:type="spellEnd"/>
            <w:r w:rsidRPr="00F557CB">
              <w:rPr>
                <w:sz w:val="19"/>
                <w:szCs w:val="19"/>
              </w:rPr>
              <w:t xml:space="preserve"> Resources, acknowledging their support of the DAAU. Aurizon Network started the stakeholder engagement before submitting a formal DAAU.</w:t>
            </w:r>
          </w:p>
          <w:p w14:paraId="0CE182C5" w14:textId="77777777" w:rsidR="00485B9D" w:rsidRPr="00F557CB" w:rsidRDefault="00485B9D" w:rsidP="00F4303F">
            <w:pPr>
              <w:spacing w:after="120"/>
              <w:contextualSpacing/>
              <w:rPr>
                <w:sz w:val="19"/>
                <w:szCs w:val="19"/>
              </w:rPr>
            </w:pPr>
            <w:r w:rsidRPr="00F557CB">
              <w:rPr>
                <w:b/>
                <w:bCs/>
                <w:sz w:val="19"/>
                <w:szCs w:val="19"/>
              </w:rPr>
              <w:t xml:space="preserve">Benefits/outcome: </w:t>
            </w:r>
            <w:r w:rsidRPr="00F557CB">
              <w:rPr>
                <w:sz w:val="19"/>
                <w:szCs w:val="19"/>
              </w:rPr>
              <w:t>The proposal we approved allowed the maintenance and cross-system voting process to be streamlined and removed the ambiguity in the wording and clause reference. Additionally, the mutual agreement between all parties to the proposed changes before Aurizon Network’s formal DAAU submission allowed for a quicker decision-making process and a quicker turn-around in our deadlines, expedited the assessment of the DAAU and ultimately provided greater clarity for stakeholders much sooner.</w:t>
            </w:r>
          </w:p>
          <w:p w14:paraId="42626A33" w14:textId="77777777" w:rsidR="00485B9D" w:rsidRPr="00F557CB" w:rsidRDefault="00485B9D" w:rsidP="00F4303F">
            <w:pPr>
              <w:spacing w:after="120"/>
              <w:contextualSpacing/>
              <w:rPr>
                <w:sz w:val="19"/>
                <w:szCs w:val="19"/>
              </w:rPr>
            </w:pPr>
          </w:p>
        </w:tc>
      </w:tr>
      <w:tr w:rsidR="00485B9D" w:rsidRPr="00197162" w14:paraId="443650D0" w14:textId="77777777" w:rsidTr="00F557CB">
        <w:trPr>
          <w:cantSplit/>
        </w:trPr>
        <w:tc>
          <w:tcPr>
            <w:tcW w:w="2258" w:type="dxa"/>
            <w:hideMark/>
          </w:tcPr>
          <w:p w14:paraId="5CDE1AE3" w14:textId="052AD877" w:rsidR="00485B9D" w:rsidRPr="00F557CB" w:rsidRDefault="00485B9D" w:rsidP="00BC0E66">
            <w:pPr>
              <w:rPr>
                <w:sz w:val="19"/>
                <w:szCs w:val="19"/>
              </w:rPr>
            </w:pPr>
            <w:r w:rsidRPr="00F557CB">
              <w:rPr>
                <w:sz w:val="19"/>
                <w:szCs w:val="19"/>
              </w:rPr>
              <w:lastRenderedPageBreak/>
              <w:t>Aurizon Network Meteor Downs South (MDS) Pricing DAAU</w:t>
            </w:r>
          </w:p>
        </w:tc>
        <w:tc>
          <w:tcPr>
            <w:tcW w:w="2977" w:type="dxa"/>
            <w:hideMark/>
          </w:tcPr>
          <w:p w14:paraId="4FBA6223" w14:textId="77777777" w:rsidR="00485B9D" w:rsidRPr="00F557CB" w:rsidRDefault="00485B9D" w:rsidP="00F4303F">
            <w:pPr>
              <w:spacing w:after="120"/>
              <w:rPr>
                <w:sz w:val="19"/>
                <w:szCs w:val="19"/>
              </w:rPr>
            </w:pPr>
            <w:r w:rsidRPr="00F557CB">
              <w:rPr>
                <w:sz w:val="19"/>
                <w:szCs w:val="19"/>
              </w:rPr>
              <w:t xml:space="preserve">The </w:t>
            </w:r>
            <w:proofErr w:type="spellStart"/>
            <w:r w:rsidRPr="00F557CB">
              <w:rPr>
                <w:sz w:val="19"/>
                <w:szCs w:val="19"/>
              </w:rPr>
              <w:t>Starlee</w:t>
            </w:r>
            <w:proofErr w:type="spellEnd"/>
            <w:r w:rsidRPr="00F557CB">
              <w:rPr>
                <w:sz w:val="19"/>
                <w:szCs w:val="19"/>
              </w:rPr>
              <w:t xml:space="preserve"> expansion (an electrified passing loop on the Bauhinia branch line in the Blackwater system worth $8.6 million) has been constructed to accommodate the redevelopment of the Meteor Downs South (MDS) mine. </w:t>
            </w:r>
          </w:p>
          <w:p w14:paraId="3C53B33B" w14:textId="77777777" w:rsidR="00485B9D" w:rsidRPr="00F557CB" w:rsidRDefault="00485B9D" w:rsidP="00F4303F">
            <w:pPr>
              <w:spacing w:after="120"/>
              <w:rPr>
                <w:sz w:val="19"/>
                <w:szCs w:val="19"/>
              </w:rPr>
            </w:pPr>
            <w:r w:rsidRPr="00F557CB">
              <w:rPr>
                <w:sz w:val="19"/>
                <w:szCs w:val="19"/>
              </w:rPr>
              <w:t xml:space="preserve">The MDS Pricing DAAU gives effect to a pricing proposal for the </w:t>
            </w:r>
            <w:proofErr w:type="spellStart"/>
            <w:r w:rsidRPr="00F557CB">
              <w:rPr>
                <w:sz w:val="19"/>
                <w:szCs w:val="19"/>
              </w:rPr>
              <w:t>Starlee</w:t>
            </w:r>
            <w:proofErr w:type="spellEnd"/>
            <w:r w:rsidRPr="00F557CB">
              <w:rPr>
                <w:sz w:val="19"/>
                <w:szCs w:val="19"/>
              </w:rPr>
              <w:t xml:space="preserve"> expansion. It proposes a new tariff and volumes for the </w:t>
            </w:r>
            <w:proofErr w:type="spellStart"/>
            <w:r w:rsidRPr="00F557CB">
              <w:rPr>
                <w:sz w:val="19"/>
                <w:szCs w:val="19"/>
              </w:rPr>
              <w:t>Starlee</w:t>
            </w:r>
            <w:proofErr w:type="spellEnd"/>
            <w:r w:rsidRPr="00F557CB">
              <w:rPr>
                <w:sz w:val="19"/>
                <w:szCs w:val="19"/>
              </w:rPr>
              <w:t xml:space="preserve"> expansion (with associated access conditions), corresponding revisions to the existing Blackwater system tariff and volumes, and consequential amendments to facilitate this approach. </w:t>
            </w:r>
          </w:p>
          <w:p w14:paraId="720FA217" w14:textId="6B020255" w:rsidR="00485B9D" w:rsidRPr="00F557CB" w:rsidRDefault="00485B9D" w:rsidP="00F4303F">
            <w:pPr>
              <w:rPr>
                <w:sz w:val="19"/>
                <w:szCs w:val="19"/>
              </w:rPr>
            </w:pPr>
            <w:r w:rsidRPr="00F557CB">
              <w:rPr>
                <w:sz w:val="19"/>
                <w:szCs w:val="19"/>
              </w:rPr>
              <w:t xml:space="preserve">The DAAU serves as </w:t>
            </w:r>
            <w:r w:rsidR="00AD10BE">
              <w:rPr>
                <w:sz w:val="19"/>
                <w:szCs w:val="19"/>
              </w:rPr>
              <w:t xml:space="preserve">a </w:t>
            </w:r>
            <w:r w:rsidRPr="00F557CB">
              <w:rPr>
                <w:sz w:val="19"/>
                <w:szCs w:val="19"/>
              </w:rPr>
              <w:t>conduit for private infrastructure to be built (paid for by the mine) and for assets to augment the system owned by Aurizon Network. The assets will be included in its asset base.</w:t>
            </w:r>
          </w:p>
          <w:p w14:paraId="5CCA4D61" w14:textId="77777777" w:rsidR="00485B9D" w:rsidRPr="00F557CB" w:rsidRDefault="00485B9D" w:rsidP="00F4303F">
            <w:pPr>
              <w:rPr>
                <w:sz w:val="19"/>
                <w:szCs w:val="19"/>
              </w:rPr>
            </w:pPr>
          </w:p>
        </w:tc>
        <w:tc>
          <w:tcPr>
            <w:tcW w:w="1418" w:type="dxa"/>
            <w:hideMark/>
          </w:tcPr>
          <w:p w14:paraId="58077A59" w14:textId="77777777" w:rsidR="00485B9D" w:rsidRPr="00F557CB" w:rsidRDefault="00485B9D" w:rsidP="00F4303F">
            <w:pPr>
              <w:rPr>
                <w:sz w:val="19"/>
                <w:szCs w:val="19"/>
              </w:rPr>
            </w:pPr>
            <w:r w:rsidRPr="00F557CB">
              <w:rPr>
                <w:sz w:val="19"/>
                <w:szCs w:val="19"/>
              </w:rPr>
              <w:t>Completed</w:t>
            </w:r>
          </w:p>
        </w:tc>
        <w:tc>
          <w:tcPr>
            <w:tcW w:w="7295" w:type="dxa"/>
            <w:hideMark/>
          </w:tcPr>
          <w:p w14:paraId="31ED88B1" w14:textId="751EE987" w:rsidR="00485B9D" w:rsidRPr="00F557CB" w:rsidRDefault="00485B9D" w:rsidP="00F4303F">
            <w:pPr>
              <w:spacing w:after="120"/>
              <w:contextualSpacing/>
              <w:rPr>
                <w:b/>
                <w:bCs/>
                <w:sz w:val="19"/>
                <w:szCs w:val="19"/>
              </w:rPr>
            </w:pPr>
            <w:r w:rsidRPr="00F557CB">
              <w:rPr>
                <w:b/>
                <w:bCs/>
                <w:sz w:val="19"/>
                <w:szCs w:val="19"/>
              </w:rPr>
              <w:t>Timeliness and transparency:</w:t>
            </w:r>
            <w:r w:rsidRPr="00F557CB">
              <w:rPr>
                <w:sz w:val="19"/>
                <w:szCs w:val="19"/>
              </w:rPr>
              <w:t xml:space="preserve"> The MDS Pricing DAAU and supporting documents were made available for stakeholders to comment on (August 2020). We also published and sought comments on our preliminary view (November 2020). Our final decision was published on our website for stakeholders' information (December 2020).</w:t>
            </w:r>
          </w:p>
          <w:p w14:paraId="00A1B869" w14:textId="3DF1E198" w:rsidR="00485B9D" w:rsidRPr="00F557CB" w:rsidRDefault="00485B9D" w:rsidP="00F4303F">
            <w:pPr>
              <w:spacing w:after="120"/>
              <w:contextualSpacing/>
              <w:rPr>
                <w:b/>
                <w:bCs/>
                <w:sz w:val="19"/>
                <w:szCs w:val="19"/>
              </w:rPr>
            </w:pPr>
            <w:r w:rsidRPr="00F557CB">
              <w:rPr>
                <w:b/>
                <w:bCs/>
                <w:sz w:val="19"/>
                <w:szCs w:val="19"/>
              </w:rPr>
              <w:t xml:space="preserve">Stakeholder engagement: </w:t>
            </w:r>
            <w:r w:rsidRPr="00F557CB">
              <w:rPr>
                <w:sz w:val="19"/>
                <w:szCs w:val="19"/>
              </w:rPr>
              <w:t>Aurizon Network’s</w:t>
            </w:r>
            <w:r w:rsidRPr="00F557CB">
              <w:rPr>
                <w:b/>
                <w:bCs/>
                <w:sz w:val="19"/>
                <w:szCs w:val="19"/>
              </w:rPr>
              <w:t xml:space="preserve"> </w:t>
            </w:r>
            <w:r w:rsidRPr="00F557CB">
              <w:rPr>
                <w:sz w:val="19"/>
                <w:szCs w:val="19"/>
              </w:rPr>
              <w:t>negotiations with key stakeholders on MDS pricing matters occurred approximately 12</w:t>
            </w:r>
            <w:r w:rsidR="005B6877" w:rsidRPr="00F557CB">
              <w:rPr>
                <w:sz w:val="19"/>
                <w:szCs w:val="19"/>
              </w:rPr>
              <w:t xml:space="preserve"> to </w:t>
            </w:r>
            <w:r w:rsidRPr="00F557CB">
              <w:rPr>
                <w:sz w:val="19"/>
                <w:szCs w:val="19"/>
              </w:rPr>
              <w:t xml:space="preserve">18 months before Aurizon Network submitted the DAAU. We notified stakeholders that we intended to </w:t>
            </w:r>
            <w:proofErr w:type="gramStart"/>
            <w:r w:rsidRPr="00F557CB">
              <w:rPr>
                <w:sz w:val="19"/>
                <w:szCs w:val="19"/>
              </w:rPr>
              <w:t>conduct an investigation</w:t>
            </w:r>
            <w:proofErr w:type="gramEnd"/>
            <w:r w:rsidRPr="00F557CB">
              <w:rPr>
                <w:sz w:val="19"/>
                <w:szCs w:val="19"/>
              </w:rPr>
              <w:t xml:space="preserve"> to decide whether to approve, or refuse to approve, the DAAU. We provided stakeholders with two opportunities to comment (on the proposal and on our preliminary view)—and we received one submission, which supported the proposal.</w:t>
            </w:r>
          </w:p>
          <w:p w14:paraId="572C39E8" w14:textId="77777777" w:rsidR="00485B9D" w:rsidRPr="00F557CB" w:rsidRDefault="00485B9D" w:rsidP="00F4303F">
            <w:pPr>
              <w:spacing w:after="120"/>
              <w:contextualSpacing/>
              <w:rPr>
                <w:sz w:val="19"/>
                <w:szCs w:val="19"/>
              </w:rPr>
            </w:pPr>
            <w:r w:rsidRPr="00F557CB">
              <w:rPr>
                <w:b/>
                <w:bCs/>
                <w:sz w:val="19"/>
                <w:szCs w:val="19"/>
              </w:rPr>
              <w:t xml:space="preserve">Benefits/outcome: </w:t>
            </w:r>
            <w:r w:rsidRPr="00F557CB">
              <w:rPr>
                <w:sz w:val="19"/>
                <w:szCs w:val="19"/>
              </w:rPr>
              <w:t xml:space="preserve">The approach we approved addresses stakeholders' previous concerns around the costs and risks associated with MDS project, by taking advantage of the UT5 expansion framework principles but also having regard to the circumstances of the </w:t>
            </w:r>
            <w:proofErr w:type="spellStart"/>
            <w:r w:rsidRPr="00F557CB">
              <w:rPr>
                <w:sz w:val="19"/>
                <w:szCs w:val="19"/>
              </w:rPr>
              <w:t>Starlee</w:t>
            </w:r>
            <w:proofErr w:type="spellEnd"/>
            <w:r w:rsidRPr="00F557CB">
              <w:rPr>
                <w:sz w:val="19"/>
                <w:szCs w:val="19"/>
              </w:rPr>
              <w:t xml:space="preserve"> expansion. </w:t>
            </w:r>
          </w:p>
          <w:p w14:paraId="56B6681A" w14:textId="77777777" w:rsidR="00485B9D" w:rsidRPr="00F557CB" w:rsidRDefault="00485B9D" w:rsidP="00F4303F">
            <w:pPr>
              <w:spacing w:after="120"/>
              <w:contextualSpacing/>
              <w:rPr>
                <w:sz w:val="19"/>
                <w:szCs w:val="19"/>
              </w:rPr>
            </w:pPr>
            <w:r w:rsidRPr="00F557CB">
              <w:rPr>
                <w:sz w:val="19"/>
                <w:szCs w:val="19"/>
              </w:rPr>
              <w:t xml:space="preserve">Aurizon Network sought to develop a pricing proposal for the </w:t>
            </w:r>
            <w:proofErr w:type="spellStart"/>
            <w:r w:rsidRPr="00F557CB">
              <w:rPr>
                <w:sz w:val="19"/>
                <w:szCs w:val="19"/>
              </w:rPr>
              <w:t>Starlee</w:t>
            </w:r>
            <w:proofErr w:type="spellEnd"/>
            <w:r w:rsidRPr="00F557CB">
              <w:rPr>
                <w:sz w:val="19"/>
                <w:szCs w:val="19"/>
              </w:rPr>
              <w:t xml:space="preserve"> expansion under the UT5 expansion pricing provisions as a consensus expansion that fully socialises the expansion costs and volume risks. The expansion tariff will apply from 1 July 2020 to 30 June 2022. After that, the MDS mine will be subject to the system reference tariff and the same terms and conditions as an access seeker seeking new or additional rights that do not require an expansion. </w:t>
            </w:r>
          </w:p>
          <w:p w14:paraId="2EC48530" w14:textId="77777777" w:rsidR="00485B9D" w:rsidRPr="00F557CB" w:rsidRDefault="00485B9D" w:rsidP="00F4303F">
            <w:pPr>
              <w:rPr>
                <w:sz w:val="19"/>
                <w:szCs w:val="19"/>
              </w:rPr>
            </w:pPr>
          </w:p>
        </w:tc>
      </w:tr>
      <w:tr w:rsidR="00485B9D" w:rsidRPr="00197162" w14:paraId="5F014EFE" w14:textId="77777777" w:rsidTr="00F557CB">
        <w:trPr>
          <w:cantSplit/>
        </w:trPr>
        <w:tc>
          <w:tcPr>
            <w:tcW w:w="2258" w:type="dxa"/>
            <w:hideMark/>
          </w:tcPr>
          <w:p w14:paraId="72C71540" w14:textId="77777777" w:rsidR="00485B9D" w:rsidRPr="00F557CB" w:rsidRDefault="00485B9D" w:rsidP="00F4303F">
            <w:pPr>
              <w:rPr>
                <w:sz w:val="19"/>
                <w:szCs w:val="19"/>
              </w:rPr>
            </w:pPr>
            <w:r w:rsidRPr="00F557CB">
              <w:rPr>
                <w:sz w:val="19"/>
                <w:szCs w:val="19"/>
              </w:rPr>
              <w:lastRenderedPageBreak/>
              <w:t>Dalrymple Bay Coal Terminal’s 2019 draft access undertaking (DAU)</w:t>
            </w:r>
          </w:p>
        </w:tc>
        <w:tc>
          <w:tcPr>
            <w:tcW w:w="2977" w:type="dxa"/>
            <w:hideMark/>
          </w:tcPr>
          <w:p w14:paraId="5A872259" w14:textId="27D26091" w:rsidR="00485B9D" w:rsidRPr="00F557CB" w:rsidRDefault="00485B9D" w:rsidP="00F4303F">
            <w:pPr>
              <w:rPr>
                <w:sz w:val="19"/>
                <w:szCs w:val="19"/>
              </w:rPr>
            </w:pPr>
            <w:r w:rsidRPr="00F557CB">
              <w:rPr>
                <w:sz w:val="19"/>
                <w:szCs w:val="19"/>
              </w:rPr>
              <w:t xml:space="preserve">The 2017 access undertaking for the declared service at DBCT was due to expire on 1 July 2021. In response to an initial undertaking notice issued by us, on 1 July 2019 </w:t>
            </w:r>
            <w:r w:rsidR="00CF2258">
              <w:rPr>
                <w:sz w:val="19"/>
                <w:szCs w:val="19"/>
              </w:rPr>
              <w:t>DBIM</w:t>
            </w:r>
            <w:r w:rsidRPr="00F557CB">
              <w:rPr>
                <w:sz w:val="19"/>
                <w:szCs w:val="19"/>
              </w:rPr>
              <w:t xml:space="preserve"> (then DBCT Management) lodged the 2019 DAU with us. The DAU was intended to replace the 2017 access undertaking. </w:t>
            </w:r>
          </w:p>
        </w:tc>
        <w:tc>
          <w:tcPr>
            <w:tcW w:w="1418" w:type="dxa"/>
            <w:hideMark/>
          </w:tcPr>
          <w:p w14:paraId="0D3D91F8" w14:textId="77777777" w:rsidR="00485B9D" w:rsidRPr="00F557CB" w:rsidRDefault="00485B9D" w:rsidP="00F4303F">
            <w:pPr>
              <w:rPr>
                <w:sz w:val="19"/>
                <w:szCs w:val="19"/>
              </w:rPr>
            </w:pPr>
            <w:r w:rsidRPr="00F557CB">
              <w:rPr>
                <w:sz w:val="19"/>
                <w:szCs w:val="19"/>
              </w:rPr>
              <w:t>Completed</w:t>
            </w:r>
          </w:p>
        </w:tc>
        <w:tc>
          <w:tcPr>
            <w:tcW w:w="7295" w:type="dxa"/>
            <w:hideMark/>
          </w:tcPr>
          <w:p w14:paraId="0E157E36" w14:textId="0E012FFB" w:rsidR="00485B9D" w:rsidRPr="00F557CB" w:rsidRDefault="00485B9D" w:rsidP="00F4303F">
            <w:pPr>
              <w:spacing w:after="120"/>
              <w:contextualSpacing/>
              <w:rPr>
                <w:b/>
                <w:bCs/>
                <w:sz w:val="19"/>
                <w:szCs w:val="19"/>
              </w:rPr>
            </w:pPr>
            <w:r w:rsidRPr="00F557CB">
              <w:rPr>
                <w:b/>
                <w:bCs/>
                <w:sz w:val="19"/>
                <w:szCs w:val="19"/>
              </w:rPr>
              <w:t xml:space="preserve">Timeliness and transparency: </w:t>
            </w:r>
            <w:r w:rsidRPr="00F557CB">
              <w:rPr>
                <w:bCs/>
                <w:sz w:val="19"/>
                <w:szCs w:val="19"/>
              </w:rPr>
              <w:t>We</w:t>
            </w:r>
            <w:r w:rsidRPr="00F557CB">
              <w:rPr>
                <w:sz w:val="19"/>
                <w:szCs w:val="19"/>
              </w:rPr>
              <w:t xml:space="preserve"> decided to commence the review of the DBCT access undertaking two years out from the expiry of the 2017 undertaking (by requiring the DAU to be submitted on 1 July 2019). The reason was to allow sufficient time for a new undertaking to be approved on 1 July 2021. The assessment was conducted transparently, including through regular stakeholder notices; public forums after the draft decision; prompt publication of all non-confidential submissions; and detailed interim draft, full </w:t>
            </w:r>
            <w:proofErr w:type="gramStart"/>
            <w:r w:rsidRPr="00F557CB">
              <w:rPr>
                <w:sz w:val="19"/>
                <w:szCs w:val="19"/>
              </w:rPr>
              <w:t>draft</w:t>
            </w:r>
            <w:proofErr w:type="gramEnd"/>
            <w:r w:rsidRPr="00F557CB">
              <w:rPr>
                <w:sz w:val="19"/>
                <w:szCs w:val="19"/>
              </w:rPr>
              <w:t xml:space="preserve"> and final decisions.</w:t>
            </w:r>
          </w:p>
          <w:p w14:paraId="69978A0C" w14:textId="77777777" w:rsidR="00485B9D" w:rsidRPr="00F557CB" w:rsidRDefault="00485B9D" w:rsidP="00F4303F">
            <w:pPr>
              <w:spacing w:after="120"/>
              <w:contextualSpacing/>
              <w:rPr>
                <w:b/>
                <w:bCs/>
                <w:sz w:val="19"/>
                <w:szCs w:val="19"/>
              </w:rPr>
            </w:pPr>
            <w:r w:rsidRPr="00F557CB">
              <w:rPr>
                <w:b/>
                <w:bCs/>
                <w:sz w:val="19"/>
                <w:szCs w:val="19"/>
              </w:rPr>
              <w:t>Stakeholder engagement</w:t>
            </w:r>
            <w:r w:rsidRPr="00F557CB">
              <w:rPr>
                <w:b/>
                <w:sz w:val="19"/>
                <w:szCs w:val="19"/>
              </w:rPr>
              <w:t>:</w:t>
            </w:r>
            <w:r w:rsidRPr="00F557CB">
              <w:rPr>
                <w:b/>
                <w:bCs/>
                <w:sz w:val="19"/>
                <w:szCs w:val="19"/>
              </w:rPr>
              <w:t xml:space="preserve"> </w:t>
            </w:r>
            <w:r w:rsidRPr="00F557CB">
              <w:rPr>
                <w:bCs/>
                <w:sz w:val="19"/>
                <w:szCs w:val="19"/>
              </w:rPr>
              <w:t>We</w:t>
            </w:r>
            <w:r w:rsidRPr="00F557CB">
              <w:rPr>
                <w:sz w:val="19"/>
                <w:szCs w:val="19"/>
              </w:rPr>
              <w:t xml:space="preserve"> undertook extensive stakeholder consultation as part of the assessment of the 2019 DAU. Six separate rounds of consultation were held (accounting for over 40% of the assessment period), and 18 submissions were received. Two public forums (a general forum and a technical forum) were also held following the draft decision.</w:t>
            </w:r>
          </w:p>
          <w:p w14:paraId="7597E38B" w14:textId="4CCF5A84" w:rsidR="00485B9D" w:rsidRPr="00F557CB" w:rsidRDefault="00485B9D" w:rsidP="00F4303F">
            <w:pPr>
              <w:spacing w:after="120"/>
              <w:contextualSpacing/>
              <w:rPr>
                <w:sz w:val="19"/>
                <w:szCs w:val="19"/>
              </w:rPr>
            </w:pPr>
            <w:r w:rsidRPr="00F557CB">
              <w:rPr>
                <w:b/>
                <w:bCs/>
                <w:sz w:val="19"/>
                <w:szCs w:val="19"/>
              </w:rPr>
              <w:t xml:space="preserve">Benefits/outcome: </w:t>
            </w:r>
            <w:r w:rsidRPr="00F557CB">
              <w:rPr>
                <w:sz w:val="19"/>
                <w:szCs w:val="19"/>
              </w:rPr>
              <w:t>The completion of this project in a timely manner allow</w:t>
            </w:r>
            <w:r w:rsidR="00773515">
              <w:rPr>
                <w:sz w:val="19"/>
                <w:szCs w:val="19"/>
              </w:rPr>
              <w:t>ed</w:t>
            </w:r>
            <w:r w:rsidRPr="00F557CB">
              <w:rPr>
                <w:sz w:val="19"/>
                <w:szCs w:val="19"/>
              </w:rPr>
              <w:t xml:space="preserve"> for a new access undertaking for the service at DBCT to be in place from 1 July 2021. The undertaking will introduce a more flexible regulatory model for the service (negotiate-arbitrate pricing, without a reference tariff), but it also includes significant additional protections for all stakeholders through amendments to the DAU required by us. The amended model will allow greater scope for stakeholders to negotiate beneficial outcomes for the provision of access at DBCT, but with the fallback of arbitration by the QCA to protect all parties in circumstances where negotiations are not successful.</w:t>
            </w:r>
          </w:p>
        </w:tc>
      </w:tr>
      <w:tr w:rsidR="00485B9D" w:rsidRPr="00197162" w14:paraId="5DA1103D" w14:textId="77777777" w:rsidTr="00F557CB">
        <w:trPr>
          <w:cantSplit/>
        </w:trPr>
        <w:tc>
          <w:tcPr>
            <w:tcW w:w="2258" w:type="dxa"/>
            <w:hideMark/>
          </w:tcPr>
          <w:p w14:paraId="50405E15" w14:textId="77777777" w:rsidR="00485B9D" w:rsidRPr="00F557CB" w:rsidRDefault="00485B9D" w:rsidP="00F4303F">
            <w:pPr>
              <w:rPr>
                <w:sz w:val="19"/>
                <w:szCs w:val="19"/>
              </w:rPr>
            </w:pPr>
            <w:r w:rsidRPr="00F557CB">
              <w:rPr>
                <w:bCs/>
                <w:sz w:val="19"/>
                <w:szCs w:val="19"/>
              </w:rPr>
              <w:t>Declaration: Guide to declaration, and application form for requesting declaration of a service</w:t>
            </w:r>
          </w:p>
        </w:tc>
        <w:tc>
          <w:tcPr>
            <w:tcW w:w="2977" w:type="dxa"/>
            <w:hideMark/>
          </w:tcPr>
          <w:p w14:paraId="5066367A" w14:textId="5E9A5F29" w:rsidR="00485B9D" w:rsidRPr="00F557CB" w:rsidRDefault="00485B9D" w:rsidP="00F4303F">
            <w:pPr>
              <w:spacing w:after="120"/>
              <w:rPr>
                <w:sz w:val="19"/>
                <w:szCs w:val="19"/>
              </w:rPr>
            </w:pPr>
            <w:r w:rsidRPr="00F557CB">
              <w:rPr>
                <w:sz w:val="19"/>
                <w:szCs w:val="19"/>
              </w:rPr>
              <w:t xml:space="preserve">The </w:t>
            </w:r>
            <w:proofErr w:type="gramStart"/>
            <w:r w:rsidRPr="00F557CB">
              <w:rPr>
                <w:sz w:val="19"/>
                <w:szCs w:val="19"/>
              </w:rPr>
              <w:t>third party</w:t>
            </w:r>
            <w:proofErr w:type="gramEnd"/>
            <w:r w:rsidRPr="00F557CB">
              <w:rPr>
                <w:sz w:val="19"/>
                <w:szCs w:val="19"/>
              </w:rPr>
              <w:t xml:space="preserve"> access regime in part 5 of </w:t>
            </w:r>
            <w:r w:rsidR="00A16913">
              <w:rPr>
                <w:sz w:val="19"/>
                <w:szCs w:val="19"/>
              </w:rPr>
              <w:t>QCA Act</w:t>
            </w:r>
            <w:r w:rsidRPr="00F557CB">
              <w:rPr>
                <w:sz w:val="19"/>
                <w:szCs w:val="19"/>
              </w:rPr>
              <w:t xml:space="preserve"> provides a regulatory framework to enable access seekers to gain access to significant infrastructure services where there may be a lack of effective competition. </w:t>
            </w:r>
          </w:p>
          <w:p w14:paraId="74A97545" w14:textId="6341A3D3" w:rsidR="00485B9D" w:rsidRPr="00197162" w:rsidRDefault="00485B9D" w:rsidP="00A16913">
            <w:r w:rsidRPr="00F557CB">
              <w:rPr>
                <w:sz w:val="19"/>
                <w:szCs w:val="19"/>
              </w:rPr>
              <w:t>The guide and application form were developed to explain the processes and requirements for seeking access under the provisions of the QCA Act.</w:t>
            </w:r>
            <w:r w:rsidR="00A16913">
              <w:rPr>
                <w:sz w:val="19"/>
                <w:szCs w:val="19"/>
              </w:rPr>
              <w:t xml:space="preserve"> </w:t>
            </w:r>
          </w:p>
        </w:tc>
        <w:tc>
          <w:tcPr>
            <w:tcW w:w="1418" w:type="dxa"/>
            <w:hideMark/>
          </w:tcPr>
          <w:p w14:paraId="2404D4F9" w14:textId="77777777" w:rsidR="00485B9D" w:rsidRPr="00F557CB" w:rsidRDefault="00485B9D" w:rsidP="00F4303F">
            <w:pPr>
              <w:rPr>
                <w:sz w:val="19"/>
                <w:szCs w:val="19"/>
              </w:rPr>
            </w:pPr>
            <w:r w:rsidRPr="00F557CB">
              <w:rPr>
                <w:sz w:val="19"/>
                <w:szCs w:val="19"/>
              </w:rPr>
              <w:t>Completed</w:t>
            </w:r>
          </w:p>
        </w:tc>
        <w:tc>
          <w:tcPr>
            <w:tcW w:w="7295" w:type="dxa"/>
            <w:hideMark/>
          </w:tcPr>
          <w:p w14:paraId="686B2680" w14:textId="77777777" w:rsidR="00485B9D" w:rsidRPr="00F557CB" w:rsidRDefault="00485B9D" w:rsidP="00F4303F">
            <w:pPr>
              <w:spacing w:after="120"/>
              <w:contextualSpacing/>
              <w:rPr>
                <w:b/>
                <w:bCs/>
                <w:sz w:val="19"/>
                <w:szCs w:val="19"/>
              </w:rPr>
            </w:pPr>
            <w:r w:rsidRPr="00F557CB">
              <w:rPr>
                <w:b/>
                <w:bCs/>
                <w:sz w:val="19"/>
                <w:szCs w:val="19"/>
              </w:rPr>
              <w:t xml:space="preserve">Timeliness and transparency: </w:t>
            </w:r>
            <w:r w:rsidRPr="00F557CB">
              <w:rPr>
                <w:bCs/>
                <w:sz w:val="19"/>
                <w:szCs w:val="19"/>
              </w:rPr>
              <w:t>T</w:t>
            </w:r>
            <w:r w:rsidRPr="00F557CB">
              <w:rPr>
                <w:sz w:val="19"/>
                <w:szCs w:val="19"/>
              </w:rPr>
              <w:t xml:space="preserve">here </w:t>
            </w:r>
            <w:proofErr w:type="gramStart"/>
            <w:r w:rsidRPr="00F557CB">
              <w:rPr>
                <w:sz w:val="19"/>
                <w:szCs w:val="19"/>
              </w:rPr>
              <w:t>was</w:t>
            </w:r>
            <w:proofErr w:type="gramEnd"/>
            <w:r w:rsidRPr="00F557CB">
              <w:rPr>
                <w:sz w:val="19"/>
                <w:szCs w:val="19"/>
              </w:rPr>
              <w:t xml:space="preserve"> no required timeframe for the project.</w:t>
            </w:r>
          </w:p>
          <w:p w14:paraId="71B0F8BA" w14:textId="77777777" w:rsidR="00485B9D" w:rsidRPr="00F557CB" w:rsidRDefault="00485B9D" w:rsidP="00F4303F">
            <w:pPr>
              <w:spacing w:after="120"/>
              <w:contextualSpacing/>
              <w:rPr>
                <w:b/>
                <w:bCs/>
                <w:sz w:val="19"/>
                <w:szCs w:val="19"/>
              </w:rPr>
            </w:pPr>
            <w:r w:rsidRPr="00F557CB">
              <w:rPr>
                <w:b/>
                <w:bCs/>
                <w:sz w:val="19"/>
                <w:szCs w:val="19"/>
              </w:rPr>
              <w:t xml:space="preserve">Stakeholder engagement: </w:t>
            </w:r>
            <w:r w:rsidRPr="00F557CB">
              <w:rPr>
                <w:bCs/>
                <w:sz w:val="19"/>
                <w:szCs w:val="19"/>
              </w:rPr>
              <w:t>T</w:t>
            </w:r>
            <w:r w:rsidRPr="00F557CB">
              <w:rPr>
                <w:sz w:val="19"/>
                <w:szCs w:val="19"/>
              </w:rPr>
              <w:t>here was no engagement with stakeholders, as the guide is meant to assist stakeholders in making an application, but it does not relate to a specific application made by a stakeholder.</w:t>
            </w:r>
          </w:p>
          <w:p w14:paraId="2D42FDEB" w14:textId="77777777" w:rsidR="00485B9D" w:rsidRPr="00F557CB" w:rsidRDefault="00485B9D" w:rsidP="00F4303F">
            <w:pPr>
              <w:spacing w:after="120"/>
              <w:contextualSpacing/>
              <w:rPr>
                <w:sz w:val="19"/>
                <w:szCs w:val="19"/>
              </w:rPr>
            </w:pPr>
            <w:r w:rsidRPr="00F557CB">
              <w:rPr>
                <w:b/>
                <w:bCs/>
                <w:sz w:val="19"/>
                <w:szCs w:val="19"/>
              </w:rPr>
              <w:t xml:space="preserve">Benefits/outcome: </w:t>
            </w:r>
            <w:r w:rsidRPr="00F557CB">
              <w:rPr>
                <w:bCs/>
                <w:sz w:val="19"/>
                <w:szCs w:val="19"/>
              </w:rPr>
              <w:t>T</w:t>
            </w:r>
            <w:r w:rsidRPr="00F557CB">
              <w:rPr>
                <w:sz w:val="19"/>
                <w:szCs w:val="19"/>
              </w:rPr>
              <w:t xml:space="preserve">he guide will improve the awareness of stakeholders of the process of gaining access to monopoly services through seeking declaration under part 5 of the QCA Act. The guide is likely to assist small to medium </w:t>
            </w:r>
            <w:proofErr w:type="gramStart"/>
            <w:r w:rsidRPr="00F557CB">
              <w:rPr>
                <w:sz w:val="19"/>
                <w:szCs w:val="19"/>
              </w:rPr>
              <w:t>enterprises in particular, who</w:t>
            </w:r>
            <w:proofErr w:type="gramEnd"/>
            <w:r w:rsidRPr="00F557CB">
              <w:rPr>
                <w:sz w:val="19"/>
                <w:szCs w:val="19"/>
              </w:rPr>
              <w:t xml:space="preserve"> may be otherwise unaware of the ability to seek declaration. The guide also explains the relevant criteria for assessing a declaration request and the processes we will follow in assessing a request. The form for applications that we published sets out the matters to be included in any application.</w:t>
            </w:r>
          </w:p>
          <w:p w14:paraId="7E13EE11" w14:textId="77777777" w:rsidR="00485B9D" w:rsidRPr="00197162" w:rsidRDefault="00485B9D" w:rsidP="00F4303F"/>
        </w:tc>
      </w:tr>
      <w:tr w:rsidR="00485B9D" w:rsidRPr="00197162" w14:paraId="2DA2A9C2" w14:textId="77777777" w:rsidTr="00F557CB">
        <w:trPr>
          <w:cantSplit/>
        </w:trPr>
        <w:tc>
          <w:tcPr>
            <w:tcW w:w="2258" w:type="dxa"/>
            <w:hideMark/>
          </w:tcPr>
          <w:p w14:paraId="06F8DCFD" w14:textId="77777777" w:rsidR="00485B9D" w:rsidRPr="00F557CB" w:rsidRDefault="00485B9D" w:rsidP="00F4303F">
            <w:pPr>
              <w:rPr>
                <w:sz w:val="19"/>
                <w:szCs w:val="19"/>
              </w:rPr>
            </w:pPr>
            <w:r w:rsidRPr="00F557CB">
              <w:rPr>
                <w:sz w:val="19"/>
                <w:szCs w:val="19"/>
              </w:rPr>
              <w:lastRenderedPageBreak/>
              <w:t xml:space="preserve">Retail electricity </w:t>
            </w:r>
          </w:p>
          <w:p w14:paraId="14428DCF" w14:textId="77777777" w:rsidR="00485B9D" w:rsidRPr="00F557CB" w:rsidRDefault="00485B9D" w:rsidP="00F4303F">
            <w:pPr>
              <w:spacing w:after="120"/>
              <w:rPr>
                <w:sz w:val="19"/>
                <w:szCs w:val="19"/>
              </w:rPr>
            </w:pPr>
            <w:r w:rsidRPr="00F557CB">
              <w:rPr>
                <w:sz w:val="19"/>
                <w:szCs w:val="19"/>
              </w:rPr>
              <w:t xml:space="preserve">prices </w:t>
            </w:r>
          </w:p>
          <w:p w14:paraId="58470501" w14:textId="77777777" w:rsidR="00485B9D" w:rsidRPr="00F557CB" w:rsidRDefault="00485B9D" w:rsidP="00F4303F">
            <w:pPr>
              <w:rPr>
                <w:sz w:val="19"/>
                <w:szCs w:val="19"/>
              </w:rPr>
            </w:pPr>
          </w:p>
        </w:tc>
        <w:tc>
          <w:tcPr>
            <w:tcW w:w="2977" w:type="dxa"/>
            <w:hideMark/>
          </w:tcPr>
          <w:p w14:paraId="3797EA27" w14:textId="77777777" w:rsidR="00485B9D" w:rsidRPr="00F557CB" w:rsidRDefault="00485B9D" w:rsidP="00F4303F">
            <w:pPr>
              <w:rPr>
                <w:sz w:val="19"/>
                <w:szCs w:val="19"/>
              </w:rPr>
            </w:pPr>
            <w:r w:rsidRPr="00F557CB">
              <w:rPr>
                <w:sz w:val="19"/>
                <w:szCs w:val="19"/>
              </w:rPr>
              <w:t>We undertook pricing reviews to determine the regional retail electricity prices that Ergon Energy may charge customers on standard contracts during 2020–21 and 2021–22.</w:t>
            </w:r>
          </w:p>
        </w:tc>
        <w:tc>
          <w:tcPr>
            <w:tcW w:w="1418" w:type="dxa"/>
            <w:hideMark/>
          </w:tcPr>
          <w:p w14:paraId="59FEBE7F" w14:textId="77777777" w:rsidR="00485B9D" w:rsidRPr="00F557CB" w:rsidRDefault="00485B9D" w:rsidP="00F4303F">
            <w:pPr>
              <w:rPr>
                <w:sz w:val="19"/>
                <w:szCs w:val="19"/>
              </w:rPr>
            </w:pPr>
            <w:r w:rsidRPr="00F557CB">
              <w:rPr>
                <w:sz w:val="19"/>
                <w:szCs w:val="19"/>
              </w:rPr>
              <w:t>Completed</w:t>
            </w:r>
          </w:p>
        </w:tc>
        <w:tc>
          <w:tcPr>
            <w:tcW w:w="7295" w:type="dxa"/>
            <w:hideMark/>
          </w:tcPr>
          <w:p w14:paraId="1CDEF04C" w14:textId="77777777" w:rsidR="00485B9D" w:rsidRPr="00F557CB" w:rsidRDefault="00485B9D" w:rsidP="00F4303F">
            <w:pPr>
              <w:spacing w:after="120"/>
              <w:contextualSpacing/>
              <w:rPr>
                <w:sz w:val="19"/>
                <w:szCs w:val="19"/>
              </w:rPr>
            </w:pPr>
            <w:r w:rsidRPr="00F557CB">
              <w:rPr>
                <w:b/>
                <w:bCs/>
                <w:sz w:val="19"/>
                <w:szCs w:val="19"/>
              </w:rPr>
              <w:t xml:space="preserve">Timeliness and transparency: </w:t>
            </w:r>
            <w:r w:rsidRPr="00F557CB">
              <w:rPr>
                <w:sz w:val="19"/>
                <w:szCs w:val="19"/>
              </w:rPr>
              <w:t xml:space="preserve">We published a supplementary final determination for 2020–21 by 16 October 2020 and a final determination for 2021–22 by 11 June 2021, as required. </w:t>
            </w:r>
          </w:p>
          <w:p w14:paraId="2FB54523" w14:textId="77777777" w:rsidR="00485B9D" w:rsidRPr="00F557CB" w:rsidRDefault="00485B9D" w:rsidP="00F4303F">
            <w:pPr>
              <w:spacing w:after="120"/>
              <w:contextualSpacing/>
              <w:rPr>
                <w:b/>
                <w:bCs/>
                <w:sz w:val="19"/>
                <w:szCs w:val="19"/>
              </w:rPr>
            </w:pPr>
            <w:r w:rsidRPr="00F557CB">
              <w:rPr>
                <w:b/>
                <w:bCs/>
                <w:sz w:val="19"/>
                <w:szCs w:val="19"/>
              </w:rPr>
              <w:t xml:space="preserve">Stakeholder engagement: </w:t>
            </w:r>
            <w:r w:rsidRPr="00F557CB">
              <w:rPr>
                <w:sz w:val="19"/>
                <w:szCs w:val="19"/>
              </w:rPr>
              <w:t>We gave stakeholders opportunities to comment through submissions and held virtual workshops as part of the retail prices project. We received 4 submissions for the supplementary price review and 13 submissions over the course of the annual 2021–22 review. We also published an information booklet on the electricity prices, which summarises the prices, process and bill impacts in an easy-to-read format.</w:t>
            </w:r>
            <w:r w:rsidRPr="00F557CB">
              <w:rPr>
                <w:b/>
                <w:bCs/>
                <w:sz w:val="19"/>
                <w:szCs w:val="19"/>
              </w:rPr>
              <w:t xml:space="preserve"> </w:t>
            </w:r>
          </w:p>
          <w:p w14:paraId="64E7D9FD" w14:textId="49D04A80" w:rsidR="00485B9D" w:rsidRPr="00197162" w:rsidRDefault="00485B9D" w:rsidP="00F557CB">
            <w:pPr>
              <w:spacing w:after="120"/>
              <w:contextualSpacing/>
            </w:pPr>
            <w:r w:rsidRPr="00F557CB">
              <w:rPr>
                <w:b/>
                <w:bCs/>
                <w:sz w:val="19"/>
                <w:szCs w:val="19"/>
              </w:rPr>
              <w:t xml:space="preserve">Benefits/outcomes: </w:t>
            </w:r>
            <w:r w:rsidRPr="00F557CB">
              <w:rPr>
                <w:sz w:val="19"/>
                <w:szCs w:val="19"/>
              </w:rPr>
              <w:t xml:space="preserve">We applied our established project methodology during both determinations, adapting our approach to account for developments in the electricity market environment, including ongoing network tariff reforms and changes to the government’s uniform tariff policy. Overall, we introduced 11 new retail tariffs as part the supplementary review and the final prices for 2021–22 result in reduced electricity costs for consumers in regional Queensland. </w:t>
            </w:r>
          </w:p>
        </w:tc>
      </w:tr>
      <w:tr w:rsidR="00485B9D" w:rsidRPr="00197162" w14:paraId="2D5B3A7F" w14:textId="77777777" w:rsidTr="00F4303F">
        <w:tc>
          <w:tcPr>
            <w:tcW w:w="2258" w:type="dxa"/>
            <w:hideMark/>
          </w:tcPr>
          <w:p w14:paraId="54575210" w14:textId="77777777" w:rsidR="00485B9D" w:rsidRPr="00F557CB" w:rsidRDefault="00485B9D" w:rsidP="00F4303F">
            <w:pPr>
              <w:rPr>
                <w:sz w:val="19"/>
                <w:szCs w:val="19"/>
              </w:rPr>
            </w:pPr>
            <w:r w:rsidRPr="00F557CB">
              <w:rPr>
                <w:sz w:val="19"/>
                <w:szCs w:val="19"/>
              </w:rPr>
              <w:t>Review of Schedule 8 (Electricity Regulation 2006)</w:t>
            </w:r>
          </w:p>
        </w:tc>
        <w:tc>
          <w:tcPr>
            <w:tcW w:w="2977" w:type="dxa"/>
            <w:hideMark/>
          </w:tcPr>
          <w:p w14:paraId="34F420CE" w14:textId="77777777" w:rsidR="00485B9D" w:rsidRDefault="00485B9D" w:rsidP="00F4303F">
            <w:pPr>
              <w:spacing w:after="120"/>
            </w:pPr>
            <w:r>
              <w:t>We were</w:t>
            </w:r>
            <w:r w:rsidRPr="00197162">
              <w:t xml:space="preserve"> directed under s</w:t>
            </w:r>
            <w:r>
              <w:t xml:space="preserve">. </w:t>
            </w:r>
            <w:r w:rsidRPr="00197162">
              <w:t>253AA of the Electricity Act 1994 to undertake a review of the operation of price caps in the Electricity Regulation 2006 and provide written advice to the Minister by 12 February 2021.</w:t>
            </w:r>
          </w:p>
          <w:p w14:paraId="149B5562" w14:textId="77777777" w:rsidR="00485B9D" w:rsidRPr="00F557CB" w:rsidRDefault="00485B9D" w:rsidP="00F4303F">
            <w:pPr>
              <w:spacing w:after="120"/>
              <w:rPr>
                <w:sz w:val="19"/>
                <w:szCs w:val="19"/>
              </w:rPr>
            </w:pPr>
            <w:r>
              <w:t>When the Queensland G</w:t>
            </w:r>
            <w:r w:rsidRPr="00197162">
              <w:t xml:space="preserve">overnment </w:t>
            </w:r>
            <w:r>
              <w:t>undertook a review of its energy legislation (in 2018), it</w:t>
            </w:r>
            <w:r w:rsidRPr="00197162">
              <w:t xml:space="preserve"> sought stakeholder comment on Schedule 8 as part of </w:t>
            </w:r>
            <w:r>
              <w:t>that</w:t>
            </w:r>
            <w:r w:rsidRPr="00197162">
              <w:t xml:space="preserve"> review. However, as it received insufficient feedback to inform the development of options for Schedule 8, it separated Schedule 8 from that review and referred it to </w:t>
            </w:r>
            <w:r>
              <w:t>us</w:t>
            </w:r>
            <w:r w:rsidRPr="00197162">
              <w:t xml:space="preserve"> for further investigation.</w:t>
            </w:r>
          </w:p>
        </w:tc>
        <w:tc>
          <w:tcPr>
            <w:tcW w:w="1418" w:type="dxa"/>
            <w:hideMark/>
          </w:tcPr>
          <w:p w14:paraId="26273C36" w14:textId="77777777" w:rsidR="00485B9D" w:rsidRPr="00F557CB" w:rsidRDefault="00485B9D" w:rsidP="00F4303F">
            <w:pPr>
              <w:rPr>
                <w:sz w:val="19"/>
                <w:szCs w:val="19"/>
              </w:rPr>
            </w:pPr>
            <w:r w:rsidRPr="00F557CB">
              <w:rPr>
                <w:sz w:val="19"/>
                <w:szCs w:val="19"/>
              </w:rPr>
              <w:t>Completed</w:t>
            </w:r>
          </w:p>
        </w:tc>
        <w:tc>
          <w:tcPr>
            <w:tcW w:w="7295" w:type="dxa"/>
            <w:hideMark/>
          </w:tcPr>
          <w:p w14:paraId="4A3DB284" w14:textId="77777777" w:rsidR="00485B9D" w:rsidRPr="00F557CB" w:rsidRDefault="00485B9D" w:rsidP="00F4303F">
            <w:pPr>
              <w:spacing w:after="120"/>
              <w:contextualSpacing/>
              <w:rPr>
                <w:b/>
                <w:bCs/>
                <w:sz w:val="19"/>
                <w:szCs w:val="19"/>
              </w:rPr>
            </w:pPr>
            <w:r w:rsidRPr="00F557CB">
              <w:rPr>
                <w:b/>
                <w:bCs/>
                <w:sz w:val="19"/>
                <w:szCs w:val="19"/>
              </w:rPr>
              <w:t xml:space="preserve">Timeliness and transparency: </w:t>
            </w:r>
            <w:r w:rsidRPr="00F557CB">
              <w:rPr>
                <w:bCs/>
                <w:sz w:val="19"/>
                <w:szCs w:val="19"/>
              </w:rPr>
              <w:t>T</w:t>
            </w:r>
            <w:r w:rsidRPr="00F557CB">
              <w:rPr>
                <w:sz w:val="19"/>
                <w:szCs w:val="19"/>
              </w:rPr>
              <w:t>he advice was provided to the Minister by the due date. Consistent with the Minister's request, the direction notice was published on our website. As the advice was provided under s. 253AA of the Electricity Act 1994 and may inform cabinet considerations, there were some constraints on our ability to publish material related to the review.</w:t>
            </w:r>
          </w:p>
          <w:p w14:paraId="3BF6560F" w14:textId="77777777" w:rsidR="00485B9D" w:rsidRPr="00F557CB" w:rsidRDefault="00485B9D" w:rsidP="00F4303F">
            <w:pPr>
              <w:spacing w:after="120"/>
              <w:contextualSpacing/>
              <w:rPr>
                <w:b/>
                <w:bCs/>
                <w:sz w:val="19"/>
                <w:szCs w:val="19"/>
              </w:rPr>
            </w:pPr>
            <w:r w:rsidRPr="00F557CB">
              <w:rPr>
                <w:b/>
                <w:bCs/>
                <w:sz w:val="19"/>
                <w:szCs w:val="19"/>
              </w:rPr>
              <w:t>Stakeholder engagement:</w:t>
            </w:r>
            <w:r w:rsidRPr="00F557CB">
              <w:rPr>
                <w:sz w:val="19"/>
                <w:szCs w:val="19"/>
              </w:rPr>
              <w:t xml:space="preserve"> We released an issues paper in late June 2020 for public comment, with several stakeholders providing submissions in response. We also engaged directly with retailers, Energy </w:t>
            </w:r>
            <w:proofErr w:type="gramStart"/>
            <w:r w:rsidRPr="00F557CB">
              <w:rPr>
                <w:sz w:val="19"/>
                <w:szCs w:val="19"/>
              </w:rPr>
              <w:t>Queensland</w:t>
            </w:r>
            <w:proofErr w:type="gramEnd"/>
            <w:r w:rsidRPr="00F557CB">
              <w:rPr>
                <w:sz w:val="19"/>
                <w:szCs w:val="19"/>
              </w:rPr>
              <w:t xml:space="preserve"> and key consumer stakeholders. In addition, we held a workshop on Schedule 8 in mid-October 2020, which was attended by members of the QCA's Consumer Advisory Committee.</w:t>
            </w:r>
          </w:p>
          <w:p w14:paraId="74504AB3" w14:textId="77777777" w:rsidR="00485B9D" w:rsidRPr="00F557CB" w:rsidRDefault="00485B9D" w:rsidP="00F4303F">
            <w:pPr>
              <w:spacing w:after="120"/>
              <w:contextualSpacing/>
              <w:rPr>
                <w:sz w:val="19"/>
                <w:szCs w:val="19"/>
              </w:rPr>
            </w:pPr>
            <w:r w:rsidRPr="00F557CB">
              <w:rPr>
                <w:b/>
                <w:bCs/>
                <w:sz w:val="19"/>
                <w:szCs w:val="19"/>
              </w:rPr>
              <w:t>Benefits/outcome</w:t>
            </w:r>
            <w:r w:rsidRPr="00F557CB">
              <w:rPr>
                <w:b/>
                <w:sz w:val="19"/>
                <w:szCs w:val="19"/>
              </w:rPr>
              <w:t>:</w:t>
            </w:r>
            <w:r w:rsidRPr="00F557CB">
              <w:rPr>
                <w:sz w:val="19"/>
                <w:szCs w:val="19"/>
              </w:rPr>
              <w:t xml:space="preserve"> The information and comments provided by stakeholders during our review were an important input to our advice. The advice will assist the Queensland Government in its consideration of Schedule 8.</w:t>
            </w:r>
          </w:p>
          <w:p w14:paraId="474E9948" w14:textId="77777777" w:rsidR="00485B9D" w:rsidRPr="00F557CB" w:rsidRDefault="00485B9D" w:rsidP="00F4303F">
            <w:pPr>
              <w:rPr>
                <w:sz w:val="19"/>
                <w:szCs w:val="19"/>
              </w:rPr>
            </w:pPr>
          </w:p>
        </w:tc>
      </w:tr>
      <w:tr w:rsidR="00485B9D" w:rsidRPr="00A16913" w14:paraId="3227F496" w14:textId="77777777" w:rsidTr="00F557CB">
        <w:trPr>
          <w:cantSplit/>
        </w:trPr>
        <w:tc>
          <w:tcPr>
            <w:tcW w:w="2258" w:type="dxa"/>
            <w:hideMark/>
          </w:tcPr>
          <w:p w14:paraId="1FDFDDB9" w14:textId="77777777" w:rsidR="00485B9D" w:rsidRPr="00F557CB" w:rsidRDefault="00485B9D" w:rsidP="00F4303F">
            <w:pPr>
              <w:rPr>
                <w:sz w:val="19"/>
                <w:szCs w:val="19"/>
              </w:rPr>
            </w:pPr>
            <w:r w:rsidRPr="00F557CB">
              <w:rPr>
                <w:sz w:val="19"/>
                <w:szCs w:val="19"/>
              </w:rPr>
              <w:lastRenderedPageBreak/>
              <w:t xml:space="preserve">SEQ electricity market </w:t>
            </w:r>
          </w:p>
          <w:p w14:paraId="6A49D5E6" w14:textId="77777777" w:rsidR="00485B9D" w:rsidRPr="00F557CB" w:rsidRDefault="00485B9D" w:rsidP="00F4303F">
            <w:pPr>
              <w:rPr>
                <w:sz w:val="19"/>
                <w:szCs w:val="19"/>
              </w:rPr>
            </w:pPr>
            <w:r w:rsidRPr="00F557CB">
              <w:rPr>
                <w:sz w:val="19"/>
                <w:szCs w:val="19"/>
              </w:rPr>
              <w:t>monitoring 2020–21</w:t>
            </w:r>
          </w:p>
        </w:tc>
        <w:tc>
          <w:tcPr>
            <w:tcW w:w="2977" w:type="dxa"/>
            <w:hideMark/>
          </w:tcPr>
          <w:p w14:paraId="2D9FD4A3" w14:textId="77777777" w:rsidR="00485B9D" w:rsidRPr="00F557CB" w:rsidRDefault="00485B9D" w:rsidP="00F4303F">
            <w:pPr>
              <w:rPr>
                <w:sz w:val="19"/>
                <w:szCs w:val="19"/>
              </w:rPr>
            </w:pPr>
            <w:r w:rsidRPr="00F557CB">
              <w:rPr>
                <w:sz w:val="19"/>
                <w:szCs w:val="19"/>
              </w:rPr>
              <w:t xml:space="preserve">We monitored and reviewed the operation of the retail electricity market in </w:t>
            </w:r>
            <w:proofErr w:type="gramStart"/>
            <w:r w:rsidRPr="00F557CB">
              <w:rPr>
                <w:sz w:val="19"/>
                <w:szCs w:val="19"/>
              </w:rPr>
              <w:t>south east</w:t>
            </w:r>
            <w:proofErr w:type="gramEnd"/>
            <w:r w:rsidRPr="00F557CB">
              <w:rPr>
                <w:sz w:val="19"/>
                <w:szCs w:val="19"/>
              </w:rPr>
              <w:t xml:space="preserve"> Queensland (in the Energex distribution area) from 1 July 2020 to 30 June 2021.</w:t>
            </w:r>
          </w:p>
        </w:tc>
        <w:tc>
          <w:tcPr>
            <w:tcW w:w="1418" w:type="dxa"/>
            <w:hideMark/>
          </w:tcPr>
          <w:p w14:paraId="67AD4342" w14:textId="77777777" w:rsidR="00485B9D" w:rsidRPr="00F557CB" w:rsidRDefault="00485B9D" w:rsidP="00F4303F">
            <w:pPr>
              <w:rPr>
                <w:sz w:val="19"/>
                <w:szCs w:val="19"/>
              </w:rPr>
            </w:pPr>
            <w:r w:rsidRPr="00F557CB">
              <w:rPr>
                <w:sz w:val="19"/>
                <w:szCs w:val="19"/>
              </w:rPr>
              <w:t>Completed</w:t>
            </w:r>
          </w:p>
        </w:tc>
        <w:tc>
          <w:tcPr>
            <w:tcW w:w="7295" w:type="dxa"/>
            <w:hideMark/>
          </w:tcPr>
          <w:p w14:paraId="7CFA3734" w14:textId="77777777" w:rsidR="00485B9D" w:rsidRPr="00F557CB" w:rsidRDefault="00485B9D" w:rsidP="00F4303F">
            <w:pPr>
              <w:spacing w:after="120"/>
              <w:contextualSpacing/>
              <w:rPr>
                <w:b/>
                <w:bCs/>
                <w:sz w:val="19"/>
                <w:szCs w:val="19"/>
              </w:rPr>
            </w:pPr>
            <w:r w:rsidRPr="00F557CB">
              <w:rPr>
                <w:b/>
                <w:bCs/>
                <w:sz w:val="19"/>
                <w:szCs w:val="19"/>
              </w:rPr>
              <w:t xml:space="preserve">Timeliness and transparency: </w:t>
            </w:r>
            <w:r w:rsidRPr="00F557CB">
              <w:rPr>
                <w:sz w:val="19"/>
                <w:szCs w:val="19"/>
              </w:rPr>
              <w:t>We published the annual market monitoring report for 2019–20 on 1 December 2020 and continued to monitor the market for the period from 1 July 2020 to 30 June 2021.</w:t>
            </w:r>
          </w:p>
          <w:p w14:paraId="2624CC3D" w14:textId="77777777" w:rsidR="00485B9D" w:rsidRPr="00F557CB" w:rsidRDefault="00485B9D" w:rsidP="00F4303F">
            <w:pPr>
              <w:spacing w:after="120"/>
              <w:contextualSpacing/>
              <w:rPr>
                <w:b/>
                <w:bCs/>
                <w:sz w:val="19"/>
                <w:szCs w:val="19"/>
              </w:rPr>
            </w:pPr>
            <w:r w:rsidRPr="00F557CB">
              <w:rPr>
                <w:b/>
                <w:bCs/>
                <w:sz w:val="19"/>
                <w:szCs w:val="19"/>
              </w:rPr>
              <w:t xml:space="preserve">Stakeholder engagement: </w:t>
            </w:r>
            <w:r w:rsidRPr="00F557CB">
              <w:rPr>
                <w:sz w:val="19"/>
                <w:szCs w:val="19"/>
              </w:rPr>
              <w:t>Formal stakeholder consultation is not a feature of our methodology for monitoring the SEQ retail electricity market. However, stakeholders generally considered our market monitoring reports provide valuable information on the market. Fact sheets published alongside the annual report make the key findings clear in a concise format.</w:t>
            </w:r>
          </w:p>
          <w:p w14:paraId="6CBC0DDC" w14:textId="040F9D6D" w:rsidR="00485B9D" w:rsidRPr="00F557CB" w:rsidRDefault="00485B9D" w:rsidP="00F4303F">
            <w:pPr>
              <w:spacing w:after="120"/>
              <w:contextualSpacing/>
              <w:rPr>
                <w:b/>
                <w:bCs/>
                <w:sz w:val="19"/>
                <w:szCs w:val="19"/>
              </w:rPr>
            </w:pPr>
            <w:r w:rsidRPr="00F557CB">
              <w:rPr>
                <w:b/>
                <w:bCs/>
                <w:sz w:val="19"/>
                <w:szCs w:val="19"/>
              </w:rPr>
              <w:t xml:space="preserve">Benefits/outcomes: </w:t>
            </w:r>
            <w:r w:rsidRPr="00F557CB">
              <w:rPr>
                <w:sz w:val="19"/>
                <w:szCs w:val="19"/>
              </w:rPr>
              <w:t xml:space="preserve">Whilst </w:t>
            </w:r>
            <w:proofErr w:type="gramStart"/>
            <w:r w:rsidRPr="00F557CB">
              <w:rPr>
                <w:sz w:val="19"/>
                <w:szCs w:val="19"/>
              </w:rPr>
              <w:t>south east</w:t>
            </w:r>
            <w:proofErr w:type="gramEnd"/>
            <w:r w:rsidRPr="00F557CB">
              <w:rPr>
                <w:sz w:val="19"/>
                <w:szCs w:val="19"/>
              </w:rPr>
              <w:t xml:space="preserve"> Queensland is deregulated, our work in monitoring and comparing prices and offerings by electricity retailers provides</w:t>
            </w:r>
            <w:r w:rsidR="001F0AC2">
              <w:rPr>
                <w:sz w:val="19"/>
                <w:szCs w:val="19"/>
              </w:rPr>
              <w:t xml:space="preserve"> useful</w:t>
            </w:r>
            <w:r w:rsidRPr="00F557CB">
              <w:rPr>
                <w:sz w:val="19"/>
                <w:szCs w:val="19"/>
              </w:rPr>
              <w:t xml:space="preserve"> information </w:t>
            </w:r>
            <w:r w:rsidR="001F0AC2">
              <w:rPr>
                <w:sz w:val="19"/>
                <w:szCs w:val="19"/>
              </w:rPr>
              <w:t>to assist</w:t>
            </w:r>
            <w:r w:rsidRPr="00F557CB">
              <w:rPr>
                <w:sz w:val="19"/>
                <w:szCs w:val="19"/>
              </w:rPr>
              <w:t xml:space="preserve"> the Minister to assess the extent to which customers have the opportunity to benefit from deregulation</w:t>
            </w:r>
            <w:r w:rsidRPr="00F557CB">
              <w:rPr>
                <w:b/>
                <w:bCs/>
                <w:sz w:val="19"/>
                <w:szCs w:val="19"/>
              </w:rPr>
              <w:t>.</w:t>
            </w:r>
          </w:p>
          <w:p w14:paraId="056C98A0" w14:textId="77777777" w:rsidR="00485B9D" w:rsidRPr="00F557CB" w:rsidRDefault="00485B9D" w:rsidP="00F4303F">
            <w:pPr>
              <w:rPr>
                <w:b/>
                <w:bCs/>
                <w:sz w:val="19"/>
                <w:szCs w:val="19"/>
              </w:rPr>
            </w:pPr>
          </w:p>
        </w:tc>
      </w:tr>
      <w:tr w:rsidR="00485B9D" w:rsidRPr="00197162" w14:paraId="624FA1A8" w14:textId="77777777" w:rsidTr="00F557CB">
        <w:trPr>
          <w:cantSplit/>
        </w:trPr>
        <w:tc>
          <w:tcPr>
            <w:tcW w:w="0" w:type="dxa"/>
            <w:shd w:val="clear" w:color="auto" w:fill="auto"/>
          </w:tcPr>
          <w:p w14:paraId="41DEFCC1" w14:textId="77777777" w:rsidR="00485B9D" w:rsidRPr="00F557CB" w:rsidRDefault="00485B9D" w:rsidP="00F4303F">
            <w:pPr>
              <w:rPr>
                <w:sz w:val="19"/>
                <w:szCs w:val="19"/>
              </w:rPr>
            </w:pPr>
            <w:r w:rsidRPr="00F557CB">
              <w:rPr>
                <w:sz w:val="19"/>
                <w:szCs w:val="19"/>
              </w:rPr>
              <w:t>Solar feed-in tariff 2021–22</w:t>
            </w:r>
          </w:p>
        </w:tc>
        <w:tc>
          <w:tcPr>
            <w:tcW w:w="2977" w:type="dxa"/>
            <w:shd w:val="clear" w:color="auto" w:fill="auto"/>
          </w:tcPr>
          <w:p w14:paraId="22933EEC" w14:textId="77777777" w:rsidR="00485B9D" w:rsidRPr="00F557CB" w:rsidRDefault="00485B9D" w:rsidP="00F4303F">
            <w:pPr>
              <w:rPr>
                <w:sz w:val="19"/>
                <w:szCs w:val="19"/>
              </w:rPr>
            </w:pPr>
            <w:r w:rsidRPr="00F557CB">
              <w:rPr>
                <w:sz w:val="19"/>
                <w:szCs w:val="19"/>
              </w:rPr>
              <w:t xml:space="preserve">We were directed under s. 93 of the Electricity Act 1994 to determine a solar feed-in tariff for regional Queensland. </w:t>
            </w:r>
          </w:p>
        </w:tc>
        <w:tc>
          <w:tcPr>
            <w:tcW w:w="1418" w:type="dxa"/>
            <w:shd w:val="clear" w:color="auto" w:fill="auto"/>
          </w:tcPr>
          <w:p w14:paraId="05E1B02A" w14:textId="77777777" w:rsidR="00485B9D" w:rsidRPr="00F557CB" w:rsidRDefault="00485B9D" w:rsidP="00F4303F">
            <w:pPr>
              <w:rPr>
                <w:sz w:val="19"/>
                <w:szCs w:val="19"/>
              </w:rPr>
            </w:pPr>
            <w:r w:rsidRPr="00F557CB">
              <w:rPr>
                <w:sz w:val="19"/>
                <w:szCs w:val="19"/>
              </w:rPr>
              <w:t>Completed</w:t>
            </w:r>
          </w:p>
        </w:tc>
        <w:tc>
          <w:tcPr>
            <w:tcW w:w="7295" w:type="dxa"/>
            <w:shd w:val="clear" w:color="auto" w:fill="auto"/>
          </w:tcPr>
          <w:p w14:paraId="3E2FF939" w14:textId="77777777" w:rsidR="00485B9D" w:rsidRPr="00F557CB" w:rsidRDefault="00485B9D" w:rsidP="00F4303F">
            <w:pPr>
              <w:spacing w:after="120"/>
              <w:contextualSpacing/>
              <w:rPr>
                <w:sz w:val="19"/>
                <w:szCs w:val="19"/>
              </w:rPr>
            </w:pPr>
            <w:r w:rsidRPr="00F557CB">
              <w:rPr>
                <w:b/>
                <w:bCs/>
                <w:sz w:val="19"/>
                <w:szCs w:val="19"/>
              </w:rPr>
              <w:t xml:space="preserve">Timeliness and transparency: </w:t>
            </w:r>
            <w:r w:rsidRPr="00F557CB">
              <w:rPr>
                <w:sz w:val="19"/>
                <w:szCs w:val="19"/>
              </w:rPr>
              <w:t xml:space="preserve">We published the solar feed-in tariff report by 11 June 2021, as required. A fact sheet that complements the report summarises how the tariff was calculated. </w:t>
            </w:r>
          </w:p>
          <w:p w14:paraId="5178E1DD" w14:textId="77777777" w:rsidR="00485B9D" w:rsidRPr="00F557CB" w:rsidRDefault="00485B9D" w:rsidP="00F4303F">
            <w:pPr>
              <w:spacing w:after="120"/>
              <w:contextualSpacing/>
              <w:rPr>
                <w:sz w:val="19"/>
                <w:szCs w:val="19"/>
              </w:rPr>
            </w:pPr>
            <w:r w:rsidRPr="00F557CB">
              <w:rPr>
                <w:b/>
                <w:bCs/>
                <w:sz w:val="19"/>
                <w:szCs w:val="19"/>
              </w:rPr>
              <w:t>Stakeholder engagement</w:t>
            </w:r>
            <w:r w:rsidRPr="00F557CB">
              <w:rPr>
                <w:sz w:val="19"/>
                <w:szCs w:val="19"/>
              </w:rPr>
              <w:t>: No consultation was required for the solar feed-in tariff determination, as set out in the ministerial direction.</w:t>
            </w:r>
          </w:p>
          <w:p w14:paraId="257DB32E" w14:textId="77777777" w:rsidR="00485B9D" w:rsidRPr="00F557CB" w:rsidRDefault="00485B9D" w:rsidP="00F4303F">
            <w:pPr>
              <w:rPr>
                <w:sz w:val="19"/>
                <w:szCs w:val="19"/>
              </w:rPr>
            </w:pPr>
            <w:r w:rsidRPr="00F557CB">
              <w:rPr>
                <w:b/>
                <w:bCs/>
                <w:sz w:val="19"/>
                <w:szCs w:val="19"/>
              </w:rPr>
              <w:t>Benefits/outcome:</w:t>
            </w:r>
            <w:r w:rsidRPr="00F557CB">
              <w:rPr>
                <w:sz w:val="19"/>
                <w:szCs w:val="19"/>
              </w:rPr>
              <w:t xml:space="preserve"> The 2021–22 feed-in tariff for regional Queensland is 6.583 cents per kilowatt hour (c/kWh), which is 16.2 per cent lower than last year's feed-in tariff of 7.861 c/kWh. This decrease is driven mainly by a decline in both wholesale energy costs and ancillary services fees.</w:t>
            </w:r>
          </w:p>
        </w:tc>
      </w:tr>
      <w:tr w:rsidR="00485B9D" w:rsidRPr="00197162" w14:paraId="6BCA20E8" w14:textId="77777777" w:rsidTr="00F557CB">
        <w:trPr>
          <w:cantSplit/>
        </w:trPr>
        <w:tc>
          <w:tcPr>
            <w:tcW w:w="2258" w:type="dxa"/>
            <w:hideMark/>
          </w:tcPr>
          <w:p w14:paraId="3AC29FF4" w14:textId="177569BD" w:rsidR="00485B9D" w:rsidRPr="00F557CB" w:rsidRDefault="00485B9D" w:rsidP="00A16913">
            <w:pPr>
              <w:rPr>
                <w:sz w:val="19"/>
                <w:szCs w:val="19"/>
              </w:rPr>
            </w:pPr>
            <w:r w:rsidRPr="00F557CB">
              <w:rPr>
                <w:sz w:val="19"/>
                <w:szCs w:val="19"/>
              </w:rPr>
              <w:lastRenderedPageBreak/>
              <w:t>Water pricing principles</w:t>
            </w:r>
          </w:p>
        </w:tc>
        <w:tc>
          <w:tcPr>
            <w:tcW w:w="2977" w:type="dxa"/>
            <w:hideMark/>
          </w:tcPr>
          <w:p w14:paraId="577F2E3A" w14:textId="77777777" w:rsidR="00485B9D" w:rsidRPr="00F557CB" w:rsidRDefault="00485B9D" w:rsidP="00F4303F">
            <w:pPr>
              <w:spacing w:after="120"/>
              <w:rPr>
                <w:sz w:val="19"/>
                <w:szCs w:val="19"/>
              </w:rPr>
            </w:pPr>
            <w:r w:rsidRPr="00F557CB">
              <w:rPr>
                <w:sz w:val="19"/>
                <w:szCs w:val="19"/>
              </w:rPr>
              <w:t>We maintain a set of regulatory pricing principles for the water sector. The principles guide us in assessing the level and structure of prices when making recommendations to the Queensland Government about pricing practices relating to monopoly water supply activities.</w:t>
            </w:r>
          </w:p>
          <w:p w14:paraId="11C8345C" w14:textId="22613563" w:rsidR="00485B9D" w:rsidRPr="00F557CB" w:rsidRDefault="00485B9D" w:rsidP="00F557CB">
            <w:pPr>
              <w:spacing w:after="120"/>
              <w:rPr>
                <w:sz w:val="19"/>
                <w:szCs w:val="19"/>
              </w:rPr>
            </w:pPr>
            <w:r w:rsidRPr="00F557CB">
              <w:rPr>
                <w:sz w:val="19"/>
                <w:szCs w:val="19"/>
              </w:rPr>
              <w:t>We reviewed these regulatory pricing principles and published a revised statement of principles on 23 April 2021.This was not a statutory review but was intended to improve stakeholder understanding of our decision-making processes relating to our statutory obligations when undertaking water pricing investigations under part 3 of the QCA Act.</w:t>
            </w:r>
          </w:p>
        </w:tc>
        <w:tc>
          <w:tcPr>
            <w:tcW w:w="1418" w:type="dxa"/>
            <w:hideMark/>
          </w:tcPr>
          <w:p w14:paraId="488D5908" w14:textId="77777777" w:rsidR="00485B9D" w:rsidRPr="00F557CB" w:rsidRDefault="00485B9D" w:rsidP="00F4303F">
            <w:pPr>
              <w:rPr>
                <w:sz w:val="19"/>
                <w:szCs w:val="19"/>
              </w:rPr>
            </w:pPr>
            <w:r w:rsidRPr="00F557CB">
              <w:rPr>
                <w:sz w:val="19"/>
                <w:szCs w:val="19"/>
              </w:rPr>
              <w:t>Completed</w:t>
            </w:r>
          </w:p>
        </w:tc>
        <w:tc>
          <w:tcPr>
            <w:tcW w:w="7295" w:type="dxa"/>
            <w:hideMark/>
          </w:tcPr>
          <w:p w14:paraId="719D56CE" w14:textId="77777777" w:rsidR="00485B9D" w:rsidRPr="00F557CB" w:rsidRDefault="00485B9D" w:rsidP="00F4303F">
            <w:pPr>
              <w:spacing w:after="120"/>
              <w:contextualSpacing/>
              <w:rPr>
                <w:b/>
                <w:bCs/>
                <w:sz w:val="19"/>
                <w:szCs w:val="19"/>
              </w:rPr>
            </w:pPr>
            <w:r w:rsidRPr="00F557CB">
              <w:rPr>
                <w:b/>
                <w:bCs/>
                <w:sz w:val="19"/>
                <w:szCs w:val="19"/>
              </w:rPr>
              <w:t xml:space="preserve">Timeliness and transparency: </w:t>
            </w:r>
            <w:r w:rsidRPr="00F557CB">
              <w:rPr>
                <w:bCs/>
                <w:sz w:val="19"/>
                <w:szCs w:val="19"/>
              </w:rPr>
              <w:t>T</w:t>
            </w:r>
            <w:r w:rsidRPr="00F557CB">
              <w:rPr>
                <w:sz w:val="19"/>
                <w:szCs w:val="19"/>
              </w:rPr>
              <w:t>his review did not have statutorily mandated timelines. However, the review was completed in a timely manner, while allowing abundant opportunity for stakeholder input, with an 8-week consultation period on the draft statement and a 12-week turnaround between the draft paper and the final paper.</w:t>
            </w:r>
          </w:p>
          <w:p w14:paraId="3C1800F1" w14:textId="77777777" w:rsidR="00485B9D" w:rsidRPr="00F557CB" w:rsidRDefault="00485B9D" w:rsidP="00F4303F">
            <w:pPr>
              <w:spacing w:after="120"/>
              <w:contextualSpacing/>
              <w:rPr>
                <w:b/>
                <w:bCs/>
                <w:sz w:val="19"/>
                <w:szCs w:val="19"/>
              </w:rPr>
            </w:pPr>
            <w:r w:rsidRPr="00F557CB">
              <w:rPr>
                <w:b/>
                <w:bCs/>
                <w:sz w:val="19"/>
                <w:szCs w:val="19"/>
              </w:rPr>
              <w:t>Stakeholder engagement</w:t>
            </w:r>
            <w:r w:rsidRPr="00F557CB">
              <w:rPr>
                <w:b/>
                <w:sz w:val="19"/>
                <w:szCs w:val="19"/>
              </w:rPr>
              <w:t>:</w:t>
            </w:r>
            <w:r w:rsidRPr="00F557CB">
              <w:rPr>
                <w:sz w:val="19"/>
                <w:szCs w:val="19"/>
              </w:rPr>
              <w:t xml:space="preserve"> We published a draft statement in early November 2020, outlining the objectives of the review, setting out the review process and inviting stakeholders’ comments on a set of draft pricing principles. Stakeholders were receptive to the process—we received 15 submissions on the draft statement. The final statement clearly explains how we had taken stakeholder feedback into account</w:t>
            </w:r>
            <w:r w:rsidRPr="00F557CB">
              <w:rPr>
                <w:b/>
                <w:bCs/>
                <w:sz w:val="19"/>
                <w:szCs w:val="19"/>
              </w:rPr>
              <w:t>.</w:t>
            </w:r>
          </w:p>
          <w:p w14:paraId="7FE8EACC" w14:textId="77777777" w:rsidR="00485B9D" w:rsidRPr="00F557CB" w:rsidRDefault="00485B9D" w:rsidP="00F4303F">
            <w:pPr>
              <w:spacing w:after="120"/>
              <w:contextualSpacing/>
              <w:rPr>
                <w:sz w:val="19"/>
                <w:szCs w:val="19"/>
              </w:rPr>
            </w:pPr>
            <w:r w:rsidRPr="00F557CB">
              <w:rPr>
                <w:b/>
                <w:bCs/>
                <w:sz w:val="19"/>
                <w:szCs w:val="19"/>
              </w:rPr>
              <w:t xml:space="preserve">Benefits/outcome: </w:t>
            </w:r>
            <w:r w:rsidRPr="00F557CB">
              <w:rPr>
                <w:bCs/>
                <w:sz w:val="19"/>
                <w:szCs w:val="19"/>
              </w:rPr>
              <w:t>T</w:t>
            </w:r>
            <w:r w:rsidRPr="00F557CB">
              <w:rPr>
                <w:sz w:val="19"/>
                <w:szCs w:val="19"/>
              </w:rPr>
              <w:t>he refinement of the pricing principles gives stakeholders a clearer understanding of our contemporary views in this important area. The increased transparency and predictability of our decision-making process is likely to maintain stakeholder confidence in the regulatory process and reduce the regulatory costs associated with engaging in the process.</w:t>
            </w:r>
          </w:p>
          <w:p w14:paraId="25849EBB" w14:textId="77777777" w:rsidR="00485B9D" w:rsidRPr="00F557CB" w:rsidRDefault="00485B9D" w:rsidP="00F4303F">
            <w:pPr>
              <w:rPr>
                <w:sz w:val="19"/>
                <w:szCs w:val="19"/>
              </w:rPr>
            </w:pPr>
          </w:p>
        </w:tc>
      </w:tr>
    </w:tbl>
    <w:p w14:paraId="6A0E486D" w14:textId="77777777" w:rsidR="00381567" w:rsidRDefault="00381567">
      <w:pPr>
        <w:spacing w:before="0" w:after="160" w:line="259" w:lineRule="auto"/>
      </w:pPr>
    </w:p>
    <w:p w14:paraId="5700FC74" w14:textId="77777777" w:rsidR="00381567" w:rsidRDefault="00381567">
      <w:pPr>
        <w:spacing w:before="0" w:after="160" w:line="259" w:lineRule="auto"/>
      </w:pPr>
    </w:p>
    <w:p w14:paraId="57243E6D" w14:textId="40FD7868" w:rsidR="00381567" w:rsidRDefault="00381567">
      <w:pPr>
        <w:spacing w:before="0" w:after="160" w:line="259" w:lineRule="auto"/>
        <w:sectPr w:rsidR="00381567" w:rsidSect="00F557CB">
          <w:headerReference w:type="even" r:id="rId33"/>
          <w:headerReference w:type="default" r:id="rId34"/>
          <w:footerReference w:type="even" r:id="rId35"/>
          <w:footerReference w:type="default" r:id="rId36"/>
          <w:headerReference w:type="first" r:id="rId37"/>
          <w:footerReference w:type="first" r:id="rId38"/>
          <w:pgSz w:w="16840" w:h="11907" w:orient="landscape" w:code="9"/>
          <w:pgMar w:top="1417" w:right="1417" w:bottom="1417" w:left="1417" w:header="567" w:footer="567" w:gutter="0"/>
          <w:cols w:space="720"/>
          <w:docGrid w:linePitch="272"/>
        </w:sectPr>
      </w:pPr>
    </w:p>
    <w:p w14:paraId="78B3CEE8" w14:textId="77777777" w:rsidR="003D61F1" w:rsidRPr="00F3445C" w:rsidRDefault="003D61F1" w:rsidP="002A503D">
      <w:pPr>
        <w:pStyle w:val="Heading2"/>
      </w:pPr>
      <w:bookmarkStart w:id="178" w:name="_Toc520282159"/>
      <w:bookmarkStart w:id="179" w:name="_Toc80792963"/>
      <w:bookmarkStart w:id="180" w:name="_Hlk71189119"/>
      <w:r w:rsidRPr="00F3445C">
        <w:lastRenderedPageBreak/>
        <w:t>Our people and workforce profile</w:t>
      </w:r>
      <w:bookmarkEnd w:id="178"/>
      <w:bookmarkEnd w:id="179"/>
    </w:p>
    <w:p w14:paraId="71B9EDB7" w14:textId="0F2EF9E3" w:rsidR="00FB5471" w:rsidRPr="00FB5471" w:rsidRDefault="00FB5471" w:rsidP="00241A24">
      <w:pPr>
        <w:rPr>
          <w:rFonts w:eastAsia="Calibri" w:cs="Times New Roman"/>
          <w:color w:val="3B3838"/>
        </w:rPr>
      </w:pPr>
      <w:r w:rsidRPr="00FB5471">
        <w:rPr>
          <w:rFonts w:eastAsia="Calibri" w:cs="Times New Roman"/>
          <w:color w:val="3B3838"/>
        </w:rPr>
        <w:t xml:space="preserve">As </w:t>
      </w:r>
      <w:proofErr w:type="gramStart"/>
      <w:r w:rsidRPr="00FB5471">
        <w:rPr>
          <w:rFonts w:eastAsia="Calibri" w:cs="Times New Roman"/>
          <w:color w:val="3B3838"/>
        </w:rPr>
        <w:t>at</w:t>
      </w:r>
      <w:proofErr w:type="gramEnd"/>
      <w:r w:rsidRPr="00FB5471">
        <w:rPr>
          <w:rFonts w:eastAsia="Calibri" w:cs="Times New Roman"/>
          <w:color w:val="3B3838"/>
        </w:rPr>
        <w:t xml:space="preserve"> 30 June 2021, we employed 43.5 full-time equivalent employees (headcount totalled 45) in a range of technical and support roles. Six employees </w:t>
      </w:r>
      <w:r w:rsidR="00353A15" w:rsidRPr="00353A15">
        <w:rPr>
          <w:rFonts w:eastAsia="Calibri" w:cs="Times New Roman"/>
          <w:color w:val="3B3838"/>
        </w:rPr>
        <w:t>(13</w:t>
      </w:r>
      <w:r w:rsidR="00076E80">
        <w:rPr>
          <w:rFonts w:eastAsia="Calibri" w:cs="Times New Roman"/>
          <w:color w:val="3B3838"/>
        </w:rPr>
        <w:t>%</w:t>
      </w:r>
      <w:r w:rsidR="00353A15" w:rsidRPr="00353A15">
        <w:rPr>
          <w:rFonts w:eastAsia="Calibri" w:cs="Times New Roman"/>
          <w:color w:val="3B3838"/>
        </w:rPr>
        <w:t>)</w:t>
      </w:r>
      <w:r w:rsidR="00353A15">
        <w:rPr>
          <w:rFonts w:eastAsia="Calibri" w:cs="Times New Roman"/>
          <w:color w:val="3B3838"/>
        </w:rPr>
        <w:t xml:space="preserve"> </w:t>
      </w:r>
      <w:r w:rsidRPr="00FB5471">
        <w:rPr>
          <w:rFonts w:eastAsia="Calibri" w:cs="Times New Roman"/>
          <w:color w:val="3B3838"/>
        </w:rPr>
        <w:t>have worked for the QCA for more than 15 years, including two for more than 20 years.  Employees who have worked for us for more than 10 years made up 44</w:t>
      </w:r>
      <w:r w:rsidR="00076E80">
        <w:rPr>
          <w:rFonts w:eastAsia="Calibri" w:cs="Times New Roman"/>
          <w:color w:val="3B3838"/>
        </w:rPr>
        <w:t xml:space="preserve">% </w:t>
      </w:r>
      <w:r w:rsidRPr="00FB5471">
        <w:rPr>
          <w:rFonts w:eastAsia="Calibri" w:cs="Times New Roman"/>
          <w:color w:val="3B3838"/>
        </w:rPr>
        <w:t>of the staff, and 69</w:t>
      </w:r>
      <w:r w:rsidR="00076E80">
        <w:rPr>
          <w:rFonts w:eastAsia="Calibri" w:cs="Times New Roman"/>
          <w:color w:val="3B3838"/>
        </w:rPr>
        <w:t xml:space="preserve">% </w:t>
      </w:r>
      <w:r w:rsidRPr="00FB5471">
        <w:rPr>
          <w:rFonts w:eastAsia="Calibri" w:cs="Times New Roman"/>
          <w:color w:val="3B3838"/>
        </w:rPr>
        <w:t>have worked for the QCA for more than 5 years.</w:t>
      </w:r>
    </w:p>
    <w:p w14:paraId="45B53CBF" w14:textId="4CE715C1" w:rsidR="003D61F1" w:rsidRPr="00273B81" w:rsidRDefault="00FB5471" w:rsidP="003D61F1">
      <w:pPr>
        <w:rPr>
          <w:rFonts w:eastAsia="Calibri" w:cs="Times New Roman"/>
          <w:color w:val="3B3838"/>
        </w:rPr>
      </w:pPr>
      <w:r w:rsidRPr="00FB5471">
        <w:rPr>
          <w:rFonts w:eastAsia="Calibri" w:cs="Times New Roman"/>
          <w:color w:val="3B3838"/>
        </w:rPr>
        <w:t>For the financial year ended 30 June 2021, we had a permanent employee separation rate of 8.9</w:t>
      </w:r>
      <w:r w:rsidR="00076E80">
        <w:rPr>
          <w:rFonts w:eastAsia="Calibri" w:cs="Times New Roman"/>
          <w:color w:val="3B3838"/>
        </w:rPr>
        <w:t>%</w:t>
      </w:r>
      <w:r w:rsidRPr="00FB5471">
        <w:rPr>
          <w:rFonts w:eastAsia="Calibri" w:cs="Times New Roman"/>
          <w:color w:val="3B3838"/>
        </w:rPr>
        <w:t>.</w:t>
      </w:r>
      <w:r w:rsidR="003D61F1">
        <w:rPr>
          <w:rFonts w:eastAsia="Calibri" w:cs="Times New Roman"/>
          <w:color w:val="3B3838"/>
        </w:rPr>
        <w:t xml:space="preserve"> </w:t>
      </w:r>
    </w:p>
    <w:p w14:paraId="54E84680" w14:textId="77777777" w:rsidR="003D61F1" w:rsidRPr="00F3445C" w:rsidRDefault="003D61F1" w:rsidP="002A503D">
      <w:pPr>
        <w:pStyle w:val="Heading3"/>
        <w:rPr>
          <w:rFonts w:eastAsia="Calibri"/>
        </w:rPr>
      </w:pPr>
      <w:r w:rsidRPr="00F3445C">
        <w:rPr>
          <w:rFonts w:eastAsia="Calibri"/>
        </w:rPr>
        <w:t>Queensland public service values</w:t>
      </w:r>
    </w:p>
    <w:p w14:paraId="6DE5718B" w14:textId="77777777" w:rsidR="003D61F1" w:rsidRPr="00F3445C" w:rsidRDefault="003D61F1" w:rsidP="003D61F1">
      <w:pPr>
        <w:rPr>
          <w:rFonts w:eastAsia="Calibri" w:cs="Times New Roman"/>
          <w:color w:val="3B3838"/>
        </w:rPr>
      </w:pPr>
      <w:r w:rsidRPr="00F3445C">
        <w:rPr>
          <w:rFonts w:eastAsia="Calibri" w:cs="Times New Roman"/>
          <w:color w:val="3B3838"/>
        </w:rPr>
        <w:t>The Queensland public service values are:</w:t>
      </w:r>
    </w:p>
    <w:p w14:paraId="1641C18F" w14:textId="77777777" w:rsidR="003D61F1" w:rsidRPr="00F3445C" w:rsidRDefault="003D61F1" w:rsidP="002B6005">
      <w:pPr>
        <w:pStyle w:val="QCABullet"/>
        <w:ind w:left="426" w:hanging="426"/>
      </w:pPr>
      <w:r w:rsidRPr="00F3445C">
        <w:t>Customers first</w:t>
      </w:r>
    </w:p>
    <w:p w14:paraId="73AB3954" w14:textId="77777777" w:rsidR="003D61F1" w:rsidRPr="00F3445C" w:rsidRDefault="003D61F1" w:rsidP="002B6005">
      <w:pPr>
        <w:pStyle w:val="QCABullet"/>
        <w:ind w:left="426" w:hanging="426"/>
      </w:pPr>
      <w:r w:rsidRPr="00F3445C">
        <w:t>Ideas into action</w:t>
      </w:r>
    </w:p>
    <w:p w14:paraId="0AC33611" w14:textId="77777777" w:rsidR="003D61F1" w:rsidRPr="00F3445C" w:rsidRDefault="003D61F1" w:rsidP="002B6005">
      <w:pPr>
        <w:pStyle w:val="QCABullet"/>
        <w:ind w:left="426" w:hanging="426"/>
      </w:pPr>
      <w:r w:rsidRPr="00F3445C">
        <w:t>Unleash potential</w:t>
      </w:r>
    </w:p>
    <w:p w14:paraId="7DFDE90A" w14:textId="77777777" w:rsidR="003D61F1" w:rsidRPr="00F3445C" w:rsidRDefault="003D61F1" w:rsidP="002B6005">
      <w:pPr>
        <w:pStyle w:val="QCABullet"/>
        <w:ind w:left="426" w:hanging="426"/>
      </w:pPr>
      <w:r w:rsidRPr="00F3445C">
        <w:t>Be courageous</w:t>
      </w:r>
    </w:p>
    <w:p w14:paraId="10E20DAF" w14:textId="77777777" w:rsidR="003D61F1" w:rsidRPr="00F3445C" w:rsidRDefault="003D61F1" w:rsidP="002B6005">
      <w:pPr>
        <w:pStyle w:val="QCABullet"/>
        <w:ind w:left="426" w:hanging="426"/>
      </w:pPr>
      <w:r w:rsidRPr="00F3445C">
        <w:t>Empower people</w:t>
      </w:r>
    </w:p>
    <w:p w14:paraId="4B33BF86" w14:textId="403CFCA1" w:rsidR="003D61F1" w:rsidRPr="00F3445C" w:rsidRDefault="00FB43C1" w:rsidP="003D61F1">
      <w:pPr>
        <w:rPr>
          <w:rFonts w:eastAsia="Calibri" w:cs="Times New Roman"/>
          <w:color w:val="3B3838"/>
        </w:rPr>
      </w:pPr>
      <w:r>
        <w:rPr>
          <w:rFonts w:eastAsia="Calibri" w:cs="Times New Roman"/>
          <w:color w:val="3B3838"/>
        </w:rPr>
        <w:t xml:space="preserve">Our </w:t>
      </w:r>
      <w:r w:rsidR="003D61F1" w:rsidRPr="00F3445C">
        <w:rPr>
          <w:rFonts w:eastAsia="Calibri" w:cs="Times New Roman"/>
          <w:color w:val="3B3838"/>
        </w:rPr>
        <w:t>values align with these values</w:t>
      </w:r>
      <w:r w:rsidR="00AB7AF9">
        <w:rPr>
          <w:rFonts w:eastAsia="Calibri" w:cs="Times New Roman"/>
          <w:color w:val="3B3838"/>
        </w:rPr>
        <w:t xml:space="preserve">. We </w:t>
      </w:r>
      <w:r w:rsidR="003D61F1">
        <w:rPr>
          <w:rFonts w:eastAsia="Calibri" w:cs="Times New Roman"/>
          <w:color w:val="3B3838"/>
        </w:rPr>
        <w:t xml:space="preserve">aim </w:t>
      </w:r>
      <w:r w:rsidR="00AB7AF9">
        <w:rPr>
          <w:rFonts w:eastAsia="Calibri" w:cs="Times New Roman"/>
          <w:color w:val="3B3838"/>
        </w:rPr>
        <w:t xml:space="preserve">to </w:t>
      </w:r>
      <w:r w:rsidR="003D61F1">
        <w:rPr>
          <w:rFonts w:eastAsia="Calibri" w:cs="Times New Roman"/>
          <w:color w:val="3B3838"/>
        </w:rPr>
        <w:t>be a high</w:t>
      </w:r>
      <w:r w:rsidR="0024710E">
        <w:rPr>
          <w:rFonts w:eastAsia="Calibri" w:cs="Times New Roman"/>
          <w:color w:val="3B3838"/>
        </w:rPr>
        <w:t>-</w:t>
      </w:r>
      <w:r w:rsidR="003D61F1">
        <w:rPr>
          <w:rFonts w:eastAsia="Calibri" w:cs="Times New Roman"/>
          <w:color w:val="3B3838"/>
        </w:rPr>
        <w:t>performing, impartial and productive workplace</w:t>
      </w:r>
      <w:r w:rsidR="003D61F1" w:rsidRPr="00F3445C">
        <w:rPr>
          <w:rFonts w:eastAsia="Calibri" w:cs="Times New Roman"/>
          <w:color w:val="3B3838"/>
        </w:rPr>
        <w:t>.</w:t>
      </w:r>
    </w:p>
    <w:p w14:paraId="1B47666D" w14:textId="77777777" w:rsidR="003D61F1" w:rsidRPr="00F3445C" w:rsidRDefault="003D61F1" w:rsidP="002A503D">
      <w:pPr>
        <w:pStyle w:val="Heading3"/>
        <w:rPr>
          <w:rFonts w:eastAsia="Calibri"/>
          <w:caps/>
        </w:rPr>
      </w:pPr>
      <w:r w:rsidRPr="00F3445C">
        <w:rPr>
          <w:rFonts w:eastAsia="Calibri"/>
        </w:rPr>
        <w:t>Diversity and workplace equity</w:t>
      </w:r>
    </w:p>
    <w:p w14:paraId="1D3128E9" w14:textId="547265F7" w:rsidR="003D61F1" w:rsidRPr="00F3445C" w:rsidRDefault="00A047B3" w:rsidP="003D61F1">
      <w:pPr>
        <w:rPr>
          <w:rFonts w:eastAsia="Calibri" w:cs="Times New Roman"/>
          <w:caps/>
          <w:color w:val="3B3838"/>
        </w:rPr>
      </w:pPr>
      <w:r w:rsidRPr="00A047B3">
        <w:rPr>
          <w:rFonts w:eastAsia="Calibri" w:cs="Times New Roman"/>
          <w:color w:val="3B3838"/>
        </w:rPr>
        <w:t xml:space="preserve">We are committed to </w:t>
      </w:r>
      <w:r w:rsidR="00A82AE8">
        <w:rPr>
          <w:rFonts w:eastAsia="Calibri" w:cs="Times New Roman"/>
          <w:color w:val="3B3838"/>
        </w:rPr>
        <w:t xml:space="preserve">having </w:t>
      </w:r>
      <w:r w:rsidRPr="00A047B3">
        <w:rPr>
          <w:rFonts w:eastAsia="Calibri" w:cs="Times New Roman"/>
          <w:color w:val="3B3838"/>
        </w:rPr>
        <w:t>a workplace that is fair and inclusive and promotes our values and positive workplace culture. In 2020</w:t>
      </w:r>
      <w:r w:rsidR="00A82AE8">
        <w:rPr>
          <w:rFonts w:eastAsia="Calibri" w:cs="Times New Roman"/>
          <w:color w:val="3B3838"/>
        </w:rPr>
        <w:t>–</w:t>
      </w:r>
      <w:r w:rsidRPr="00A047B3">
        <w:rPr>
          <w:rFonts w:eastAsia="Calibri" w:cs="Times New Roman"/>
          <w:color w:val="3B3838"/>
        </w:rPr>
        <w:t xml:space="preserve">21, </w:t>
      </w:r>
      <w:r w:rsidR="00A82AE8">
        <w:rPr>
          <w:rFonts w:eastAsia="Calibri" w:cs="Times New Roman"/>
          <w:color w:val="3B3838"/>
        </w:rPr>
        <w:t xml:space="preserve">for example, </w:t>
      </w:r>
      <w:r w:rsidRPr="00A047B3">
        <w:rPr>
          <w:rFonts w:eastAsia="Calibri" w:cs="Times New Roman"/>
          <w:color w:val="3B3838"/>
        </w:rPr>
        <w:t>all employees completed on-line Code of Conduct refresher training, and an international women’s day event was held. Workplace equity and anti-discrimination principles remain enshrined in our policies and procedures.</w:t>
      </w:r>
    </w:p>
    <w:p w14:paraId="01FB26CC" w14:textId="77777777" w:rsidR="003D61F1" w:rsidRPr="00F3445C" w:rsidRDefault="003D61F1" w:rsidP="002A503D">
      <w:pPr>
        <w:pStyle w:val="Heading3"/>
        <w:rPr>
          <w:rFonts w:eastAsia="Calibri"/>
          <w:caps/>
        </w:rPr>
      </w:pPr>
      <w:r w:rsidRPr="00F3445C">
        <w:rPr>
          <w:rFonts w:eastAsia="Calibri"/>
        </w:rPr>
        <w:t>Workforce planning</w:t>
      </w:r>
    </w:p>
    <w:p w14:paraId="3BC5173C" w14:textId="43BE9DB5" w:rsidR="003D61F1" w:rsidRDefault="00A047B3" w:rsidP="003D61F1">
      <w:pPr>
        <w:rPr>
          <w:rFonts w:eastAsia="Calibri" w:cs="Times New Roman"/>
          <w:color w:val="3B3838"/>
        </w:rPr>
      </w:pPr>
      <w:r w:rsidRPr="00A047B3">
        <w:rPr>
          <w:rFonts w:eastAsia="Calibri" w:cs="Times New Roman"/>
          <w:color w:val="3B3838"/>
        </w:rPr>
        <w:t xml:space="preserve">Our staffing levels are based on the annual operational plan and projected resources required for various projects. </w:t>
      </w:r>
      <w:r w:rsidR="00530D3D">
        <w:rPr>
          <w:rFonts w:eastAsia="Calibri" w:cs="Times New Roman"/>
          <w:color w:val="3B3838"/>
        </w:rPr>
        <w:t>W</w:t>
      </w:r>
      <w:r w:rsidRPr="00A047B3">
        <w:rPr>
          <w:rFonts w:eastAsia="Calibri" w:cs="Times New Roman"/>
          <w:color w:val="3B3838"/>
        </w:rPr>
        <w:t xml:space="preserve">e </w:t>
      </w:r>
      <w:r w:rsidR="00530D3D">
        <w:rPr>
          <w:rFonts w:eastAsia="Calibri" w:cs="Times New Roman"/>
          <w:color w:val="3B3838"/>
        </w:rPr>
        <w:t xml:space="preserve">also </w:t>
      </w:r>
      <w:r w:rsidRPr="00A047B3">
        <w:rPr>
          <w:rFonts w:eastAsia="Calibri" w:cs="Times New Roman"/>
          <w:color w:val="3B3838"/>
        </w:rPr>
        <w:t>engage consultants or contract staff for specialist advice and, if necessary, for meeting peak activity demands.</w:t>
      </w:r>
      <w:r w:rsidR="003D61F1" w:rsidRPr="00F3445C">
        <w:rPr>
          <w:rFonts w:eastAsia="Calibri" w:cs="Times New Roman"/>
          <w:color w:val="3B3838"/>
        </w:rPr>
        <w:t xml:space="preserve"> </w:t>
      </w:r>
    </w:p>
    <w:p w14:paraId="13191B09" w14:textId="0A7B4581" w:rsidR="003D61F1" w:rsidRPr="003B11FC" w:rsidRDefault="007979C9" w:rsidP="002A503D">
      <w:pPr>
        <w:pStyle w:val="Heading3"/>
        <w:rPr>
          <w:rFonts w:eastAsia="Calibri"/>
          <w:caps/>
        </w:rPr>
      </w:pPr>
      <w:r>
        <w:rPr>
          <w:rFonts w:eastAsia="Calibri"/>
        </w:rPr>
        <w:t>M</w:t>
      </w:r>
      <w:r w:rsidR="003D61F1" w:rsidRPr="003B11FC">
        <w:rPr>
          <w:rFonts w:eastAsia="Calibri"/>
        </w:rPr>
        <w:t>entoring program</w:t>
      </w:r>
    </w:p>
    <w:p w14:paraId="452EF1A0" w14:textId="0F6B37CA" w:rsidR="003D61F1" w:rsidRDefault="00A047B3" w:rsidP="003D61F1">
      <w:pPr>
        <w:rPr>
          <w:rFonts w:eastAsia="Calibri" w:cs="Times New Roman"/>
          <w:color w:val="3B3838"/>
        </w:rPr>
      </w:pPr>
      <w:r w:rsidRPr="00A047B3">
        <w:rPr>
          <w:rFonts w:eastAsia="Calibri" w:cs="Times New Roman"/>
          <w:color w:val="3B3838"/>
        </w:rPr>
        <w:t>Our mentoring program provides an opportunity for a mutually beneficial mentoring relationship between participants. The program is designed to enhance professional development and increase reflection on performance and career goals, encourage and develop leadership at all levels of the QCA, improve performance and achievement, and encourage a culture of support and guidance.</w:t>
      </w:r>
      <w:r w:rsidR="007979C9" w:rsidRPr="007979C9">
        <w:rPr>
          <w:rFonts w:eastAsia="Calibri" w:cs="Times New Roman"/>
          <w:color w:val="3B3838"/>
        </w:rPr>
        <w:t xml:space="preserve"> </w:t>
      </w:r>
      <w:r w:rsidR="003D61F1">
        <w:rPr>
          <w:rFonts w:eastAsia="Calibri" w:cs="Times New Roman"/>
          <w:color w:val="3B3838"/>
        </w:rPr>
        <w:t xml:space="preserve"> </w:t>
      </w:r>
    </w:p>
    <w:p w14:paraId="34F85A4C" w14:textId="77777777" w:rsidR="003D61F1" w:rsidRPr="00F3445C" w:rsidRDefault="003D61F1" w:rsidP="002A503D">
      <w:pPr>
        <w:pStyle w:val="Heading3"/>
        <w:rPr>
          <w:rFonts w:eastAsia="Calibri"/>
          <w:caps/>
        </w:rPr>
      </w:pPr>
      <w:r w:rsidRPr="00F3445C">
        <w:rPr>
          <w:rFonts w:eastAsia="Calibri"/>
        </w:rPr>
        <w:t>Employee development and performance management framework</w:t>
      </w:r>
    </w:p>
    <w:p w14:paraId="6623EA70" w14:textId="02B4EE97" w:rsidR="00F30FC1" w:rsidRPr="00F30FC1" w:rsidRDefault="00F30FC1" w:rsidP="00241A24">
      <w:pPr>
        <w:rPr>
          <w:rFonts w:eastAsia="Calibri" w:cs="Times New Roman"/>
          <w:color w:val="3B3838"/>
        </w:rPr>
      </w:pPr>
      <w:r w:rsidRPr="00F30FC1">
        <w:rPr>
          <w:rFonts w:eastAsia="Calibri" w:cs="Times New Roman"/>
          <w:color w:val="3B3838"/>
        </w:rPr>
        <w:t xml:space="preserve">Employee learning and development is supported by a comprehensive training and development matrix, which provides information on relevant courses and programs for </w:t>
      </w:r>
      <w:r w:rsidR="00DB7331">
        <w:rPr>
          <w:rFonts w:eastAsia="Calibri" w:cs="Times New Roman"/>
          <w:color w:val="3B3838"/>
        </w:rPr>
        <w:t xml:space="preserve">all </w:t>
      </w:r>
      <w:r w:rsidRPr="00F30FC1">
        <w:rPr>
          <w:rFonts w:eastAsia="Calibri" w:cs="Times New Roman"/>
          <w:color w:val="3B3838"/>
        </w:rPr>
        <w:t xml:space="preserve">employees, as well as leadership development programs.  </w:t>
      </w:r>
    </w:p>
    <w:p w14:paraId="0AE5CB31" w14:textId="5957233E" w:rsidR="00F30FC1" w:rsidRPr="00F30FC1" w:rsidRDefault="00F30FC1" w:rsidP="00241A24">
      <w:pPr>
        <w:rPr>
          <w:rFonts w:eastAsia="Calibri" w:cs="Times New Roman"/>
          <w:color w:val="3B3838"/>
        </w:rPr>
      </w:pPr>
      <w:r w:rsidRPr="00F30FC1">
        <w:rPr>
          <w:rFonts w:eastAsia="Calibri" w:cs="Times New Roman"/>
          <w:color w:val="3B3838"/>
        </w:rPr>
        <w:t>The corporate induction program for new employees covers HR and general QCA policies (including the Code of Conduct and Public Interest Disclosure</w:t>
      </w:r>
      <w:r w:rsidR="00530D3D">
        <w:rPr>
          <w:rFonts w:eastAsia="Calibri" w:cs="Times New Roman"/>
          <w:color w:val="3B3838"/>
        </w:rPr>
        <w:t xml:space="preserve"> policy</w:t>
      </w:r>
      <w:r w:rsidRPr="00F30FC1">
        <w:rPr>
          <w:rFonts w:eastAsia="Calibri" w:cs="Times New Roman"/>
          <w:color w:val="3B3838"/>
        </w:rPr>
        <w:t>), health and safety, document management, IT and systems induction, style and writing induction and general orientation.</w:t>
      </w:r>
    </w:p>
    <w:p w14:paraId="2CB0DDFC" w14:textId="7231D56B" w:rsidR="00F30FC1" w:rsidRPr="00F30FC1" w:rsidRDefault="00F30FC1" w:rsidP="00241A24">
      <w:pPr>
        <w:rPr>
          <w:rFonts w:eastAsia="Calibri" w:cs="Times New Roman"/>
          <w:color w:val="3B3838"/>
        </w:rPr>
      </w:pPr>
      <w:r w:rsidRPr="00F30FC1">
        <w:rPr>
          <w:rFonts w:eastAsia="Calibri" w:cs="Times New Roman"/>
          <w:color w:val="3B3838"/>
        </w:rPr>
        <w:t>Employees have the opportunity during the annual performance evaluation process to identify their learning and development requirements, to enhance their professional development. Formal study by staff is also supported by the QCA’s Study and Research Assistance Scheme.</w:t>
      </w:r>
    </w:p>
    <w:p w14:paraId="1840D574" w14:textId="2670FA65" w:rsidR="00F30FC1" w:rsidRPr="00F30FC1" w:rsidRDefault="00F30FC1" w:rsidP="00241A24">
      <w:pPr>
        <w:rPr>
          <w:rFonts w:eastAsia="Calibri" w:cs="Times New Roman"/>
          <w:color w:val="3B3838"/>
        </w:rPr>
      </w:pPr>
      <w:r w:rsidRPr="00F30FC1">
        <w:rPr>
          <w:rFonts w:eastAsia="Calibri" w:cs="Times New Roman"/>
          <w:color w:val="3B3838"/>
        </w:rPr>
        <w:t>The performance framework for employees is centred on setting KPIs annually. The results of annual KPI reviews are considered as part of the annual salary review process. Feedback from this process also informs decisions regarding employee project placement and suitability for promotions.</w:t>
      </w:r>
    </w:p>
    <w:p w14:paraId="0A4992DE" w14:textId="77777777" w:rsidR="00F30FC1" w:rsidRPr="00241A24" w:rsidRDefault="00F30FC1">
      <w:pPr>
        <w:pStyle w:val="Heading3"/>
        <w:rPr>
          <w:rFonts w:eastAsia="Calibri"/>
        </w:rPr>
      </w:pPr>
      <w:r w:rsidRPr="00241A24">
        <w:rPr>
          <w:rFonts w:eastAsia="Calibri"/>
        </w:rPr>
        <w:t xml:space="preserve">Knowledge sharing </w:t>
      </w:r>
    </w:p>
    <w:p w14:paraId="32775502" w14:textId="523979E6" w:rsidR="00F30FC1" w:rsidRPr="00F30FC1" w:rsidRDefault="00F30FC1">
      <w:pPr>
        <w:rPr>
          <w:rFonts w:eastAsia="Calibri" w:cs="Times New Roman"/>
          <w:color w:val="3B3838"/>
        </w:rPr>
      </w:pPr>
      <w:r w:rsidRPr="00F30FC1">
        <w:rPr>
          <w:rFonts w:eastAsia="Calibri" w:cs="Times New Roman"/>
          <w:color w:val="3B3838"/>
        </w:rPr>
        <w:t>This year employees were provided with the opportunity to learn from more experienced colleagues and to develop professional and personal skills via regular lunch</w:t>
      </w:r>
      <w:r w:rsidR="00530D3D">
        <w:rPr>
          <w:rFonts w:eastAsia="Calibri" w:cs="Times New Roman"/>
          <w:color w:val="3B3838"/>
        </w:rPr>
        <w:t>-</w:t>
      </w:r>
      <w:r w:rsidRPr="00F30FC1">
        <w:rPr>
          <w:rFonts w:eastAsia="Calibri" w:cs="Times New Roman"/>
          <w:color w:val="3B3838"/>
        </w:rPr>
        <w:t>and</w:t>
      </w:r>
      <w:r w:rsidR="00530D3D">
        <w:rPr>
          <w:rFonts w:eastAsia="Calibri" w:cs="Times New Roman"/>
          <w:color w:val="3B3838"/>
        </w:rPr>
        <w:t>-</w:t>
      </w:r>
      <w:r w:rsidRPr="00F30FC1">
        <w:rPr>
          <w:rFonts w:eastAsia="Calibri" w:cs="Times New Roman"/>
          <w:color w:val="3B3838"/>
        </w:rPr>
        <w:t>learn forums conducted on</w:t>
      </w:r>
      <w:r w:rsidR="00530D3D">
        <w:rPr>
          <w:rFonts w:eastAsia="Calibri" w:cs="Times New Roman"/>
          <w:color w:val="3B3838"/>
        </w:rPr>
        <w:t>-</w:t>
      </w:r>
      <w:r w:rsidRPr="00F30FC1">
        <w:rPr>
          <w:rFonts w:eastAsia="Calibri" w:cs="Times New Roman"/>
          <w:color w:val="3B3838"/>
        </w:rPr>
        <w:t xml:space="preserve">site. </w:t>
      </w:r>
    </w:p>
    <w:p w14:paraId="4A493C83" w14:textId="77777777" w:rsidR="003D61F1" w:rsidRPr="00F3445C" w:rsidRDefault="003D61F1" w:rsidP="002A503D">
      <w:pPr>
        <w:pStyle w:val="Heading3"/>
        <w:rPr>
          <w:rFonts w:eastAsia="Calibri"/>
          <w:caps/>
        </w:rPr>
      </w:pPr>
      <w:r w:rsidRPr="00F3445C">
        <w:rPr>
          <w:rFonts w:eastAsia="Calibri"/>
        </w:rPr>
        <w:t>Leadership development framework</w:t>
      </w:r>
    </w:p>
    <w:p w14:paraId="4F85F126" w14:textId="77777777" w:rsidR="00F30FC1" w:rsidRPr="00F30FC1" w:rsidRDefault="00F30FC1" w:rsidP="00241A24">
      <w:pPr>
        <w:rPr>
          <w:rFonts w:eastAsia="Calibri" w:cs="Times New Roman"/>
          <w:color w:val="3B3838"/>
        </w:rPr>
      </w:pPr>
      <w:r w:rsidRPr="00F30FC1">
        <w:rPr>
          <w:rFonts w:eastAsia="Calibri" w:cs="Times New Roman"/>
          <w:color w:val="3B3838"/>
        </w:rPr>
        <w:t xml:space="preserve">Our Leadership Development Plan provides a framework that supports and develops our leaders and shapes the QCA leadership culture. The plan is mainly aimed at the senior leadership team, existing corporate/project/program </w:t>
      </w:r>
      <w:proofErr w:type="gramStart"/>
      <w:r w:rsidRPr="00F30FC1">
        <w:rPr>
          <w:rFonts w:eastAsia="Calibri" w:cs="Times New Roman"/>
          <w:color w:val="3B3838"/>
        </w:rPr>
        <w:t>leaders</w:t>
      </w:r>
      <w:proofErr w:type="gramEnd"/>
      <w:r w:rsidRPr="00F30FC1">
        <w:rPr>
          <w:rFonts w:eastAsia="Calibri" w:cs="Times New Roman"/>
          <w:color w:val="3B3838"/>
        </w:rPr>
        <w:t xml:space="preserve"> and emerging leaders. This plan is complemented by a matrix of leadership competencies and relevant training and development options for all target groups.</w:t>
      </w:r>
    </w:p>
    <w:p w14:paraId="76A343C1" w14:textId="71E95172" w:rsidR="003D61F1" w:rsidRPr="00241A24" w:rsidRDefault="00F30FC1" w:rsidP="003D61F1">
      <w:pPr>
        <w:rPr>
          <w:rFonts w:eastAsia="Calibri" w:cs="Times New Roman"/>
          <w:color w:val="3B3838"/>
        </w:rPr>
      </w:pPr>
      <w:r w:rsidRPr="00F30FC1">
        <w:rPr>
          <w:rFonts w:eastAsia="Calibri" w:cs="Times New Roman"/>
          <w:color w:val="3B3838"/>
        </w:rPr>
        <w:t>Our Young Professionals Group continues to develop early leadership building blocks and a peer-coaching culture.</w:t>
      </w:r>
    </w:p>
    <w:p w14:paraId="706B3EF8" w14:textId="77777777" w:rsidR="003D61F1" w:rsidRPr="00F3445C" w:rsidRDefault="003D61F1" w:rsidP="002A503D">
      <w:pPr>
        <w:pStyle w:val="Heading3"/>
        <w:rPr>
          <w:rFonts w:eastAsia="Calibri"/>
          <w:caps/>
        </w:rPr>
      </w:pPr>
      <w:r w:rsidRPr="00F3445C">
        <w:rPr>
          <w:rFonts w:eastAsia="Calibri"/>
        </w:rPr>
        <w:t>Work–life balance</w:t>
      </w:r>
    </w:p>
    <w:p w14:paraId="659B32AA" w14:textId="02064832" w:rsidR="00F30FC1" w:rsidRPr="00F30FC1" w:rsidRDefault="00F30FC1" w:rsidP="00241A24">
      <w:pPr>
        <w:rPr>
          <w:rFonts w:eastAsia="Calibri" w:cs="Times New Roman"/>
          <w:color w:val="3B3838"/>
        </w:rPr>
      </w:pPr>
      <w:r w:rsidRPr="00F30FC1">
        <w:rPr>
          <w:rFonts w:eastAsia="Calibri" w:cs="Times New Roman"/>
          <w:color w:val="3B3838"/>
        </w:rPr>
        <w:t>We encourage our employees to maintain a healthy work–life balance. Currently</w:t>
      </w:r>
      <w:r w:rsidR="00076E80">
        <w:rPr>
          <w:rFonts w:eastAsia="Calibri" w:cs="Times New Roman"/>
          <w:color w:val="3B3838"/>
        </w:rPr>
        <w:t>,</w:t>
      </w:r>
      <w:r w:rsidRPr="00F30FC1">
        <w:rPr>
          <w:rFonts w:eastAsia="Calibri" w:cs="Times New Roman"/>
          <w:color w:val="3B3838"/>
        </w:rPr>
        <w:t xml:space="preserve"> 96% of employees work from home for a proportion of each week.  Additionally, 9% of employees work part</w:t>
      </w:r>
      <w:r w:rsidR="00076E80">
        <w:rPr>
          <w:rFonts w:eastAsia="Calibri" w:cs="Times New Roman"/>
          <w:color w:val="3B3838"/>
        </w:rPr>
        <w:t>-</w:t>
      </w:r>
      <w:r w:rsidRPr="00F30FC1">
        <w:rPr>
          <w:rFonts w:eastAsia="Calibri" w:cs="Times New Roman"/>
          <w:color w:val="3B3838"/>
        </w:rPr>
        <w:t xml:space="preserve">time, and 4.5% purchase additional leave.  </w:t>
      </w:r>
    </w:p>
    <w:p w14:paraId="5D5B93AC" w14:textId="7EF96964" w:rsidR="003D61F1" w:rsidRPr="00273B81" w:rsidRDefault="00F30FC1" w:rsidP="003C5017">
      <w:pPr>
        <w:rPr>
          <w:rFonts w:eastAsia="Calibri" w:cs="Times New Roman"/>
          <w:color w:val="3B3838"/>
        </w:rPr>
      </w:pPr>
      <w:r w:rsidRPr="00F30FC1">
        <w:rPr>
          <w:rFonts w:eastAsia="Calibri" w:cs="Times New Roman"/>
          <w:color w:val="3B3838"/>
        </w:rPr>
        <w:t>Our employees are encouraged to use annual leave accruals between projects, ensuring appropriate periods of revitalisation. We also have a mother’s room available to employees as needed.</w:t>
      </w:r>
    </w:p>
    <w:p w14:paraId="1D3D16C3" w14:textId="77777777" w:rsidR="003D61F1" w:rsidRPr="00F3445C" w:rsidRDefault="003D61F1" w:rsidP="002A503D">
      <w:pPr>
        <w:pStyle w:val="Heading3"/>
        <w:rPr>
          <w:rFonts w:eastAsia="Calibri"/>
          <w:caps/>
        </w:rPr>
      </w:pPr>
      <w:r w:rsidRPr="00F3445C">
        <w:rPr>
          <w:rFonts w:eastAsia="Calibri"/>
        </w:rPr>
        <w:t>Health and safety initiatives</w:t>
      </w:r>
    </w:p>
    <w:p w14:paraId="48026963" w14:textId="77777777" w:rsidR="00DD5885" w:rsidRPr="00DD5885" w:rsidRDefault="00DD5885" w:rsidP="00241A24">
      <w:pPr>
        <w:rPr>
          <w:rFonts w:eastAsia="Calibri" w:cs="Times New Roman"/>
          <w:color w:val="3B3838"/>
        </w:rPr>
      </w:pPr>
      <w:r w:rsidRPr="00DD5885">
        <w:rPr>
          <w:rFonts w:eastAsia="Calibri" w:cs="Times New Roman"/>
          <w:color w:val="3B3838"/>
        </w:rPr>
        <w:t xml:space="preserve">Employee safety remains a priority for us. In 2020–21, there was one workplace incident that resulted in lost time due to injury. </w:t>
      </w:r>
    </w:p>
    <w:p w14:paraId="1F91E37E" w14:textId="77777777" w:rsidR="00DD5885" w:rsidRPr="00DD5885" w:rsidRDefault="00DD5885" w:rsidP="00241A24">
      <w:pPr>
        <w:rPr>
          <w:rFonts w:eastAsia="Calibri" w:cs="Times New Roman"/>
          <w:color w:val="3B3838"/>
        </w:rPr>
      </w:pPr>
      <w:r w:rsidRPr="00DD5885">
        <w:rPr>
          <w:rFonts w:eastAsia="Calibri" w:cs="Times New Roman"/>
          <w:color w:val="3B3838"/>
        </w:rPr>
        <w:t xml:space="preserve">All employees must complete an ergonomic checklist annually, and/or if they change residences. </w:t>
      </w:r>
    </w:p>
    <w:p w14:paraId="3AD11B29" w14:textId="77777777" w:rsidR="00DD5885" w:rsidRPr="00DD5885" w:rsidRDefault="00DD5885" w:rsidP="00241A24">
      <w:pPr>
        <w:rPr>
          <w:rFonts w:eastAsia="Calibri" w:cs="Times New Roman"/>
          <w:color w:val="3B3838"/>
        </w:rPr>
      </w:pPr>
      <w:r w:rsidRPr="00DD5885">
        <w:rPr>
          <w:rFonts w:eastAsia="Calibri" w:cs="Times New Roman"/>
          <w:color w:val="3B3838"/>
        </w:rPr>
        <w:lastRenderedPageBreak/>
        <w:t xml:space="preserve">The annual audit of all workstations, offices and common areas was conducted, with no major hazards identified. </w:t>
      </w:r>
    </w:p>
    <w:p w14:paraId="030BCB31" w14:textId="77777777" w:rsidR="00DD5885" w:rsidRPr="00DD5885" w:rsidRDefault="00DD5885" w:rsidP="00241A24">
      <w:pPr>
        <w:rPr>
          <w:rFonts w:eastAsia="Calibri" w:cs="Times New Roman"/>
          <w:color w:val="3B3838"/>
        </w:rPr>
      </w:pPr>
      <w:r w:rsidRPr="00DD5885">
        <w:rPr>
          <w:rFonts w:eastAsia="Calibri" w:cs="Times New Roman"/>
          <w:color w:val="3B3838"/>
        </w:rPr>
        <w:t xml:space="preserve">Our Health and Wellbeing Program proactively supports employee good health. We arrange flu </w:t>
      </w:r>
      <w:proofErr w:type="gramStart"/>
      <w:r w:rsidRPr="00DD5885">
        <w:rPr>
          <w:rFonts w:eastAsia="Calibri" w:cs="Times New Roman"/>
          <w:color w:val="3B3838"/>
        </w:rPr>
        <w:t>vaccinations,</w:t>
      </w:r>
      <w:proofErr w:type="gramEnd"/>
      <w:r w:rsidRPr="00DD5885">
        <w:rPr>
          <w:rFonts w:eastAsia="Calibri" w:cs="Times New Roman"/>
          <w:color w:val="3B3838"/>
        </w:rPr>
        <w:t xml:space="preserve"> skin checks and health assessments. </w:t>
      </w:r>
    </w:p>
    <w:p w14:paraId="767EBB5D" w14:textId="0314BE11" w:rsidR="00DD5885" w:rsidRPr="00DD5885" w:rsidRDefault="00DD5885" w:rsidP="00241A24">
      <w:pPr>
        <w:rPr>
          <w:rFonts w:eastAsia="Calibri" w:cs="Times New Roman"/>
          <w:color w:val="3B3838"/>
        </w:rPr>
      </w:pPr>
      <w:r w:rsidRPr="00DD5885">
        <w:rPr>
          <w:rFonts w:eastAsia="Calibri" w:cs="Times New Roman"/>
          <w:color w:val="3B3838"/>
        </w:rPr>
        <w:t xml:space="preserve">A number of health awareness (including mental health) </w:t>
      </w:r>
      <w:r w:rsidR="00F557CB">
        <w:rPr>
          <w:rFonts w:eastAsia="Calibri" w:cs="Times New Roman"/>
          <w:color w:val="3B3838"/>
        </w:rPr>
        <w:t>events</w:t>
      </w:r>
      <w:r w:rsidR="00F557CB" w:rsidRPr="00DD5885">
        <w:rPr>
          <w:rFonts w:eastAsia="Calibri" w:cs="Times New Roman"/>
          <w:color w:val="3B3838"/>
        </w:rPr>
        <w:t xml:space="preserve"> </w:t>
      </w:r>
      <w:r w:rsidRPr="00DD5885">
        <w:rPr>
          <w:rFonts w:eastAsia="Calibri" w:cs="Times New Roman"/>
          <w:color w:val="3B3838"/>
        </w:rPr>
        <w:t>were held</w:t>
      </w:r>
      <w:r w:rsidR="00076E80">
        <w:rPr>
          <w:rFonts w:eastAsia="Calibri" w:cs="Times New Roman"/>
          <w:color w:val="3B3838"/>
        </w:rPr>
        <w:t>,</w:t>
      </w:r>
      <w:r w:rsidRPr="00DD5885">
        <w:rPr>
          <w:rFonts w:eastAsia="Calibri" w:cs="Times New Roman"/>
          <w:color w:val="3B3838"/>
        </w:rPr>
        <w:t xml:space="preserve"> including ‘R </w:t>
      </w:r>
      <w:proofErr w:type="gramStart"/>
      <w:r w:rsidRPr="00DD5885">
        <w:rPr>
          <w:rFonts w:eastAsia="Calibri" w:cs="Times New Roman"/>
          <w:color w:val="3B3838"/>
        </w:rPr>
        <w:t>U</w:t>
      </w:r>
      <w:proofErr w:type="gramEnd"/>
      <w:r w:rsidRPr="00DD5885">
        <w:rPr>
          <w:rFonts w:eastAsia="Calibri" w:cs="Times New Roman"/>
          <w:color w:val="3B3838"/>
        </w:rPr>
        <w:t xml:space="preserve"> OK? Day’ and ‘Australia’s Biggest Morning Tea’</w:t>
      </w:r>
      <w:r w:rsidR="00076E80">
        <w:rPr>
          <w:rFonts w:eastAsia="Calibri" w:cs="Times New Roman"/>
          <w:color w:val="3B3838"/>
        </w:rPr>
        <w:t>,</w:t>
      </w:r>
      <w:r w:rsidRPr="00DD5885">
        <w:rPr>
          <w:rFonts w:eastAsia="Calibri" w:cs="Times New Roman"/>
          <w:color w:val="3B3838"/>
        </w:rPr>
        <w:t xml:space="preserve"> which provided information and resources for employees.</w:t>
      </w:r>
    </w:p>
    <w:p w14:paraId="60BEF08F" w14:textId="676D134E" w:rsidR="003C5017" w:rsidRPr="003C5017" w:rsidRDefault="00DD5885" w:rsidP="003C5017">
      <w:pPr>
        <w:rPr>
          <w:rFonts w:eastAsia="Calibri" w:cs="Times New Roman"/>
          <w:color w:val="3B3838"/>
        </w:rPr>
      </w:pPr>
      <w:r w:rsidRPr="00DD5885">
        <w:rPr>
          <w:rFonts w:eastAsia="Calibri" w:cs="Times New Roman"/>
          <w:color w:val="3B3838"/>
        </w:rPr>
        <w:t>The QCA end</w:t>
      </w:r>
      <w:r w:rsidR="00076E80">
        <w:rPr>
          <w:rFonts w:eastAsia="Calibri" w:cs="Times New Roman"/>
          <w:color w:val="3B3838"/>
        </w:rPr>
        <w:t>-</w:t>
      </w:r>
      <w:r w:rsidRPr="00DD5885">
        <w:rPr>
          <w:rFonts w:eastAsia="Calibri" w:cs="Times New Roman"/>
          <w:color w:val="3B3838"/>
        </w:rPr>
        <w:t>of</w:t>
      </w:r>
      <w:r w:rsidR="00076E80">
        <w:rPr>
          <w:rFonts w:eastAsia="Calibri" w:cs="Times New Roman"/>
          <w:color w:val="3B3838"/>
        </w:rPr>
        <w:t>-</w:t>
      </w:r>
      <w:r w:rsidRPr="00DD5885">
        <w:rPr>
          <w:rFonts w:eastAsia="Calibri" w:cs="Times New Roman"/>
          <w:color w:val="3B3838"/>
        </w:rPr>
        <w:t>trip facilities (shower</w:t>
      </w:r>
      <w:r w:rsidR="00076E80">
        <w:rPr>
          <w:rFonts w:eastAsia="Calibri" w:cs="Times New Roman"/>
          <w:color w:val="3B3838"/>
        </w:rPr>
        <w:t xml:space="preserve"> and</w:t>
      </w:r>
      <w:r w:rsidRPr="00DD5885">
        <w:rPr>
          <w:rFonts w:eastAsia="Calibri" w:cs="Times New Roman"/>
          <w:color w:val="3B3838"/>
        </w:rPr>
        <w:t xml:space="preserve"> changeroom) enable staff to undertake exercise on their way to</w:t>
      </w:r>
      <w:r w:rsidR="00076E80">
        <w:rPr>
          <w:rFonts w:eastAsia="Calibri" w:cs="Times New Roman"/>
          <w:color w:val="3B3838"/>
        </w:rPr>
        <w:t xml:space="preserve"> and from</w:t>
      </w:r>
      <w:r w:rsidRPr="00DD5885">
        <w:rPr>
          <w:rFonts w:eastAsia="Calibri" w:cs="Times New Roman"/>
          <w:color w:val="3B3838"/>
        </w:rPr>
        <w:t xml:space="preserve"> work, or during their lunch break.</w:t>
      </w:r>
    </w:p>
    <w:p w14:paraId="2BBDC985" w14:textId="77777777" w:rsidR="003D61F1" w:rsidRPr="00F3445C" w:rsidRDefault="003D61F1" w:rsidP="002A503D">
      <w:pPr>
        <w:pStyle w:val="Heading3"/>
        <w:rPr>
          <w:rFonts w:eastAsia="Calibri"/>
          <w:caps/>
        </w:rPr>
      </w:pPr>
      <w:r w:rsidRPr="00F3445C">
        <w:rPr>
          <w:rFonts w:eastAsia="Calibri"/>
        </w:rPr>
        <w:t>Industrial and employee relations framework</w:t>
      </w:r>
    </w:p>
    <w:p w14:paraId="2AE8C1FE" w14:textId="7097596B" w:rsidR="003D61F1" w:rsidRPr="00F3445C" w:rsidRDefault="003C5017" w:rsidP="003D61F1">
      <w:pPr>
        <w:rPr>
          <w:rFonts w:eastAsia="Calibri" w:cs="Times New Roman"/>
          <w:caps/>
          <w:color w:val="3B3838"/>
        </w:rPr>
      </w:pPr>
      <w:r w:rsidRPr="003C5017">
        <w:rPr>
          <w:rFonts w:eastAsia="Calibri" w:cs="Times New Roman"/>
          <w:color w:val="3B3838"/>
        </w:rPr>
        <w:t>Quarterly all-staff meetings give employees the opportunity to raise and discuss workplace issues. In addition, the QCA intranet is a forum for employee feedback on any policies or procedures that affect their employment or employment conditions.</w:t>
      </w:r>
    </w:p>
    <w:p w14:paraId="3E66FC79" w14:textId="77777777" w:rsidR="003D61F1" w:rsidRPr="00F3445C" w:rsidRDefault="003D61F1" w:rsidP="002A503D">
      <w:pPr>
        <w:pStyle w:val="Heading3"/>
        <w:rPr>
          <w:rFonts w:eastAsia="Calibri"/>
          <w:caps/>
        </w:rPr>
      </w:pPr>
      <w:r w:rsidRPr="00F3445C">
        <w:rPr>
          <w:rFonts w:eastAsia="Calibri"/>
        </w:rPr>
        <w:t xml:space="preserve">Early retirement, </w:t>
      </w:r>
      <w:proofErr w:type="gramStart"/>
      <w:r w:rsidRPr="00F3445C">
        <w:rPr>
          <w:rFonts w:eastAsia="Calibri"/>
        </w:rPr>
        <w:t>redundancy</w:t>
      </w:r>
      <w:proofErr w:type="gramEnd"/>
      <w:r w:rsidRPr="00F3445C">
        <w:rPr>
          <w:rFonts w:eastAsia="Calibri"/>
        </w:rPr>
        <w:t xml:space="preserve"> and retrenchment</w:t>
      </w:r>
    </w:p>
    <w:p w14:paraId="0FF08793" w14:textId="1D18BC39" w:rsidR="003D61F1" w:rsidRDefault="00DD5885" w:rsidP="003D61F1">
      <w:pPr>
        <w:rPr>
          <w:rFonts w:eastAsia="Calibri" w:cs="Times New Roman"/>
          <w:color w:val="3B3838"/>
        </w:rPr>
      </w:pPr>
      <w:r w:rsidRPr="00DD5885">
        <w:rPr>
          <w:rFonts w:eastAsia="Calibri" w:cs="Times New Roman"/>
          <w:color w:val="3B3838"/>
        </w:rPr>
        <w:t>During the year</w:t>
      </w:r>
      <w:r w:rsidR="00076E80">
        <w:rPr>
          <w:rFonts w:eastAsia="Calibri" w:cs="Times New Roman"/>
          <w:color w:val="3B3838"/>
        </w:rPr>
        <w:t>,</w:t>
      </w:r>
      <w:r w:rsidRPr="00DD5885">
        <w:rPr>
          <w:rFonts w:eastAsia="Calibri" w:cs="Times New Roman"/>
          <w:color w:val="3B3838"/>
        </w:rPr>
        <w:t xml:space="preserve"> there was one voluntary redundancy package paid at a cost of $35,131.</w:t>
      </w:r>
    </w:p>
    <w:p w14:paraId="583E1A87" w14:textId="07A03A58" w:rsidR="00170F2B" w:rsidRDefault="00170F2B" w:rsidP="00170F2B">
      <w:pPr>
        <w:sectPr w:rsidR="00170F2B" w:rsidSect="004058E9">
          <w:headerReference w:type="even" r:id="rId39"/>
          <w:headerReference w:type="default" r:id="rId40"/>
          <w:footerReference w:type="even" r:id="rId41"/>
          <w:footerReference w:type="default" r:id="rId42"/>
          <w:headerReference w:type="first" r:id="rId43"/>
          <w:footerReference w:type="first" r:id="rId44"/>
          <w:pgSz w:w="11907" w:h="16840" w:code="9"/>
          <w:pgMar w:top="1134" w:right="1134" w:bottom="1134" w:left="1134" w:header="510" w:footer="510" w:gutter="0"/>
          <w:cols w:num="2" w:space="720"/>
          <w:docGrid w:linePitch="272"/>
        </w:sectPr>
      </w:pPr>
    </w:p>
    <w:p w14:paraId="618C9EA2" w14:textId="28EAF080" w:rsidR="00974007" w:rsidRDefault="00974007" w:rsidP="006E50CB">
      <w:pPr>
        <w:pStyle w:val="QCABodyText"/>
        <w:spacing w:after="0"/>
        <w:ind w:left="-2552"/>
      </w:pPr>
    </w:p>
    <w:tbl>
      <w:tblPr>
        <w:tblpPr w:leftFromText="180" w:rightFromText="180" w:vertAnchor="text" w:horzAnchor="page" w:tblpX="1441" w:tblpY="674"/>
        <w:tblW w:w="8663" w:type="dxa"/>
        <w:tblBorders>
          <w:top w:val="single" w:sz="4" w:space="0" w:color="00B0F0"/>
          <w:insideH w:val="dotted" w:sz="4" w:space="0" w:color="58595B"/>
        </w:tblBorders>
        <w:shd w:val="clear" w:color="auto" w:fill="F4F0E6"/>
        <w:tblCellMar>
          <w:top w:w="57" w:type="dxa"/>
          <w:bottom w:w="57" w:type="dxa"/>
        </w:tblCellMar>
        <w:tblLook w:val="06A0" w:firstRow="1" w:lastRow="0" w:firstColumn="1" w:lastColumn="0" w:noHBand="1" w:noVBand="1"/>
      </w:tblPr>
      <w:tblGrid>
        <w:gridCol w:w="2012"/>
        <w:gridCol w:w="1433"/>
        <w:gridCol w:w="1233"/>
        <w:gridCol w:w="1276"/>
        <w:gridCol w:w="1276"/>
        <w:gridCol w:w="1433"/>
      </w:tblGrid>
      <w:tr w:rsidR="009F42DC" w14:paraId="7C0C65A3" w14:textId="77777777" w:rsidTr="00F557CB">
        <w:trPr>
          <w:trHeight w:hRule="exact" w:val="798"/>
          <w:tblHeader/>
        </w:trPr>
        <w:tc>
          <w:tcPr>
            <w:tcW w:w="2012" w:type="dxa"/>
            <w:tcBorders>
              <w:top w:val="nil"/>
              <w:bottom w:val="single" w:sz="4" w:space="0" w:color="auto"/>
            </w:tcBorders>
            <w:shd w:val="clear" w:color="auto" w:fill="auto"/>
          </w:tcPr>
          <w:p w14:paraId="37CF5B59" w14:textId="3A1E2C96" w:rsidR="009F42DC" w:rsidRPr="004416CF" w:rsidRDefault="009F42DC" w:rsidP="003D2E09">
            <w:pPr>
              <w:pStyle w:val="QCATableHeading"/>
              <w:spacing w:after="0"/>
              <w:ind w:left="-2127" w:firstLine="2022"/>
            </w:pPr>
          </w:p>
        </w:tc>
        <w:tc>
          <w:tcPr>
            <w:tcW w:w="1433" w:type="dxa"/>
            <w:tcBorders>
              <w:top w:val="nil"/>
              <w:bottom w:val="single" w:sz="4" w:space="0" w:color="auto"/>
            </w:tcBorders>
            <w:shd w:val="clear" w:color="auto" w:fill="auto"/>
          </w:tcPr>
          <w:p w14:paraId="12B32A17" w14:textId="5E8A8EB2" w:rsidR="000F0487" w:rsidRDefault="009F42DC" w:rsidP="00F557CB">
            <w:pPr>
              <w:pStyle w:val="QCATableHeading"/>
              <w:spacing w:after="0"/>
              <w:ind w:left="-2127" w:right="-729" w:firstLine="2127"/>
            </w:pPr>
            <w:r>
              <w:t>Total</w:t>
            </w:r>
            <w:r w:rsidR="000F0487">
              <w:t xml:space="preserve"> </w:t>
            </w:r>
          </w:p>
          <w:p w14:paraId="25077D66" w14:textId="206E5F5E" w:rsidR="009F42DC" w:rsidRDefault="009F42DC" w:rsidP="00F557CB">
            <w:pPr>
              <w:pStyle w:val="QCATableHeading"/>
              <w:spacing w:after="0"/>
              <w:ind w:left="-2127" w:right="-729" w:firstLine="2127"/>
            </w:pPr>
            <w:r>
              <w:t>employees</w:t>
            </w:r>
          </w:p>
        </w:tc>
        <w:tc>
          <w:tcPr>
            <w:tcW w:w="1233" w:type="dxa"/>
            <w:tcBorders>
              <w:top w:val="nil"/>
              <w:bottom w:val="single" w:sz="4" w:space="0" w:color="auto"/>
            </w:tcBorders>
            <w:shd w:val="clear" w:color="auto" w:fill="auto"/>
          </w:tcPr>
          <w:p w14:paraId="2B627185" w14:textId="77777777" w:rsidR="009F42DC" w:rsidRDefault="009F42DC" w:rsidP="00F557CB">
            <w:pPr>
              <w:pStyle w:val="QCATableHeading"/>
              <w:spacing w:after="0"/>
              <w:ind w:left="-2127" w:firstLine="2127"/>
              <w:jc w:val="center"/>
            </w:pPr>
            <w:r>
              <w:t>Male</w:t>
            </w:r>
          </w:p>
        </w:tc>
        <w:tc>
          <w:tcPr>
            <w:tcW w:w="1276" w:type="dxa"/>
            <w:tcBorders>
              <w:top w:val="nil"/>
              <w:bottom w:val="single" w:sz="4" w:space="0" w:color="auto"/>
            </w:tcBorders>
            <w:shd w:val="clear" w:color="auto" w:fill="auto"/>
          </w:tcPr>
          <w:p w14:paraId="7AA9CF62" w14:textId="2F1BE2D1" w:rsidR="009F42DC" w:rsidRDefault="009F42DC" w:rsidP="00F557CB">
            <w:pPr>
              <w:pStyle w:val="QCATableHeading"/>
              <w:spacing w:after="0"/>
              <w:ind w:left="-2127" w:firstLine="2127"/>
              <w:jc w:val="center"/>
            </w:pPr>
            <w:r>
              <w:t>Female</w:t>
            </w:r>
          </w:p>
        </w:tc>
        <w:tc>
          <w:tcPr>
            <w:tcW w:w="1276" w:type="dxa"/>
            <w:tcBorders>
              <w:top w:val="nil"/>
              <w:bottom w:val="single" w:sz="4" w:space="0" w:color="auto"/>
            </w:tcBorders>
            <w:shd w:val="clear" w:color="auto" w:fill="auto"/>
          </w:tcPr>
          <w:p w14:paraId="5F85DB29" w14:textId="77777777" w:rsidR="009F42DC" w:rsidRDefault="009F42DC" w:rsidP="00F557CB">
            <w:pPr>
              <w:pStyle w:val="QCATableHeading"/>
              <w:spacing w:after="0"/>
              <w:ind w:left="-2127" w:firstLine="2127"/>
              <w:jc w:val="center"/>
            </w:pPr>
            <w:r>
              <w:t>NESB</w:t>
            </w:r>
            <w:r w:rsidRPr="003D2E09">
              <w:rPr>
                <w:color w:val="auto"/>
              </w:rPr>
              <w:t>*</w:t>
            </w:r>
          </w:p>
        </w:tc>
        <w:tc>
          <w:tcPr>
            <w:tcW w:w="1433" w:type="dxa"/>
            <w:tcBorders>
              <w:top w:val="nil"/>
              <w:bottom w:val="single" w:sz="4" w:space="0" w:color="auto"/>
            </w:tcBorders>
            <w:shd w:val="clear" w:color="auto" w:fill="auto"/>
          </w:tcPr>
          <w:p w14:paraId="2D3597C7" w14:textId="77777777" w:rsidR="009F42DC" w:rsidRDefault="009F42DC" w:rsidP="00F557CB">
            <w:pPr>
              <w:pStyle w:val="QCATableHeading"/>
              <w:spacing w:after="0"/>
              <w:ind w:left="-2127" w:firstLine="2127"/>
              <w:jc w:val="right"/>
            </w:pPr>
            <w:r>
              <w:t>A&amp;TSI</w:t>
            </w:r>
            <w:r w:rsidRPr="003D2E09">
              <w:rPr>
                <w:color w:val="auto"/>
              </w:rPr>
              <w:t>**</w:t>
            </w:r>
          </w:p>
        </w:tc>
      </w:tr>
      <w:tr w:rsidR="009F42DC" w14:paraId="17829201" w14:textId="77777777" w:rsidTr="00731D6C">
        <w:trPr>
          <w:trHeight w:val="224"/>
        </w:trPr>
        <w:tc>
          <w:tcPr>
            <w:tcW w:w="2012" w:type="dxa"/>
            <w:tcBorders>
              <w:top w:val="single" w:sz="4" w:space="0" w:color="auto"/>
              <w:bottom w:val="dotted" w:sz="4" w:space="0" w:color="58595B"/>
            </w:tcBorders>
            <w:shd w:val="clear" w:color="auto" w:fill="auto"/>
          </w:tcPr>
          <w:p w14:paraId="02A40ED6" w14:textId="77777777" w:rsidR="009F42DC" w:rsidRPr="004416CF" w:rsidRDefault="009F42DC" w:rsidP="008A7263">
            <w:pPr>
              <w:pStyle w:val="QCATableText"/>
              <w:ind w:left="-2127" w:firstLine="2127"/>
            </w:pPr>
            <w:r>
              <w:t>Chief Executive Officer</w:t>
            </w:r>
          </w:p>
        </w:tc>
        <w:tc>
          <w:tcPr>
            <w:tcW w:w="1433" w:type="dxa"/>
            <w:tcBorders>
              <w:top w:val="single" w:sz="4" w:space="0" w:color="auto"/>
              <w:bottom w:val="dotted" w:sz="4" w:space="0" w:color="58595B"/>
            </w:tcBorders>
            <w:shd w:val="clear" w:color="auto" w:fill="auto"/>
          </w:tcPr>
          <w:p w14:paraId="6AD9DB84" w14:textId="77777777" w:rsidR="009F42DC" w:rsidRDefault="009F42DC" w:rsidP="003D2E09">
            <w:pPr>
              <w:pStyle w:val="QCATableText"/>
              <w:ind w:left="-2127" w:firstLine="2127"/>
              <w:jc w:val="center"/>
            </w:pPr>
            <w:r>
              <w:t>1</w:t>
            </w:r>
          </w:p>
        </w:tc>
        <w:tc>
          <w:tcPr>
            <w:tcW w:w="1233" w:type="dxa"/>
            <w:tcBorders>
              <w:top w:val="single" w:sz="4" w:space="0" w:color="auto"/>
              <w:bottom w:val="dotted" w:sz="4" w:space="0" w:color="58595B"/>
            </w:tcBorders>
            <w:shd w:val="clear" w:color="auto" w:fill="auto"/>
          </w:tcPr>
          <w:p w14:paraId="42C74480" w14:textId="77777777" w:rsidR="009F42DC" w:rsidRDefault="009F42DC" w:rsidP="00FE3057">
            <w:pPr>
              <w:pStyle w:val="QCATableText"/>
              <w:ind w:left="-2127" w:firstLine="2127"/>
              <w:jc w:val="center"/>
            </w:pPr>
            <w:r>
              <w:t>1</w:t>
            </w:r>
          </w:p>
        </w:tc>
        <w:tc>
          <w:tcPr>
            <w:tcW w:w="1276" w:type="dxa"/>
            <w:tcBorders>
              <w:top w:val="single" w:sz="4" w:space="0" w:color="auto"/>
              <w:bottom w:val="dotted" w:sz="4" w:space="0" w:color="58595B"/>
            </w:tcBorders>
            <w:shd w:val="clear" w:color="auto" w:fill="auto"/>
          </w:tcPr>
          <w:p w14:paraId="719BC27B" w14:textId="77777777" w:rsidR="009F42DC" w:rsidRDefault="009F42DC" w:rsidP="00E71B9B">
            <w:pPr>
              <w:pStyle w:val="QCATableText"/>
              <w:ind w:left="-2127" w:firstLine="2127"/>
              <w:jc w:val="center"/>
            </w:pPr>
            <w:r>
              <w:t>0</w:t>
            </w:r>
          </w:p>
        </w:tc>
        <w:tc>
          <w:tcPr>
            <w:tcW w:w="1276" w:type="dxa"/>
            <w:tcBorders>
              <w:top w:val="single" w:sz="4" w:space="0" w:color="auto"/>
              <w:bottom w:val="dotted" w:sz="4" w:space="0" w:color="58595B"/>
            </w:tcBorders>
          </w:tcPr>
          <w:p w14:paraId="7F80DCAB" w14:textId="77777777" w:rsidR="009F42DC" w:rsidRDefault="009F42DC" w:rsidP="002702D9">
            <w:pPr>
              <w:pStyle w:val="QCATableText"/>
              <w:ind w:left="-2127" w:firstLine="2127"/>
              <w:jc w:val="center"/>
            </w:pPr>
            <w:r>
              <w:t>0</w:t>
            </w:r>
          </w:p>
        </w:tc>
        <w:tc>
          <w:tcPr>
            <w:tcW w:w="1433" w:type="dxa"/>
            <w:tcBorders>
              <w:top w:val="single" w:sz="4" w:space="0" w:color="auto"/>
              <w:bottom w:val="dotted" w:sz="4" w:space="0" w:color="58595B"/>
            </w:tcBorders>
          </w:tcPr>
          <w:p w14:paraId="0D9E9338" w14:textId="77777777" w:rsidR="009F42DC" w:rsidRDefault="009F42DC" w:rsidP="002702D9">
            <w:pPr>
              <w:pStyle w:val="QCATableText"/>
              <w:ind w:left="-2127" w:firstLine="2127"/>
              <w:jc w:val="center"/>
            </w:pPr>
            <w:r>
              <w:t>0</w:t>
            </w:r>
          </w:p>
        </w:tc>
      </w:tr>
      <w:tr w:rsidR="009F42DC" w14:paraId="27744EF3" w14:textId="77777777" w:rsidTr="009F42DC">
        <w:trPr>
          <w:trHeight w:val="224"/>
        </w:trPr>
        <w:tc>
          <w:tcPr>
            <w:tcW w:w="2012" w:type="dxa"/>
            <w:tcBorders>
              <w:top w:val="dotted" w:sz="4" w:space="0" w:color="58595B"/>
              <w:bottom w:val="single" w:sz="4" w:space="0" w:color="auto"/>
            </w:tcBorders>
            <w:shd w:val="clear" w:color="auto" w:fill="auto"/>
          </w:tcPr>
          <w:p w14:paraId="0727EEDB" w14:textId="77777777" w:rsidR="009F42DC" w:rsidRPr="004416CF" w:rsidRDefault="009F42DC" w:rsidP="008A7263">
            <w:pPr>
              <w:pStyle w:val="QCATableText"/>
              <w:ind w:left="-2127" w:firstLine="2127"/>
            </w:pPr>
            <w:r>
              <w:t>Directors</w:t>
            </w:r>
          </w:p>
        </w:tc>
        <w:tc>
          <w:tcPr>
            <w:tcW w:w="1433" w:type="dxa"/>
            <w:tcBorders>
              <w:top w:val="dotted" w:sz="4" w:space="0" w:color="58595B"/>
              <w:bottom w:val="single" w:sz="4" w:space="0" w:color="auto"/>
            </w:tcBorders>
            <w:shd w:val="clear" w:color="auto" w:fill="auto"/>
          </w:tcPr>
          <w:p w14:paraId="22030DC5" w14:textId="77777777" w:rsidR="009F42DC" w:rsidRDefault="009F42DC" w:rsidP="003D2E09">
            <w:pPr>
              <w:pStyle w:val="QCATableText"/>
              <w:ind w:left="-2127" w:firstLine="2127"/>
              <w:jc w:val="center"/>
            </w:pPr>
            <w:r>
              <w:t>3</w:t>
            </w:r>
          </w:p>
        </w:tc>
        <w:tc>
          <w:tcPr>
            <w:tcW w:w="1233" w:type="dxa"/>
            <w:tcBorders>
              <w:top w:val="dotted" w:sz="4" w:space="0" w:color="58595B"/>
              <w:bottom w:val="single" w:sz="4" w:space="0" w:color="auto"/>
            </w:tcBorders>
            <w:shd w:val="clear" w:color="auto" w:fill="auto"/>
          </w:tcPr>
          <w:p w14:paraId="6A33F99C" w14:textId="632C18F1" w:rsidR="009F42DC" w:rsidRDefault="000F71C4" w:rsidP="00FE3057">
            <w:pPr>
              <w:pStyle w:val="QCATableText"/>
              <w:ind w:left="-2127" w:firstLine="2127"/>
              <w:jc w:val="center"/>
            </w:pPr>
            <w:r>
              <w:t>2</w:t>
            </w:r>
          </w:p>
        </w:tc>
        <w:tc>
          <w:tcPr>
            <w:tcW w:w="1276" w:type="dxa"/>
            <w:tcBorders>
              <w:top w:val="dotted" w:sz="4" w:space="0" w:color="58595B"/>
              <w:bottom w:val="single" w:sz="4" w:space="0" w:color="auto"/>
            </w:tcBorders>
            <w:shd w:val="clear" w:color="auto" w:fill="auto"/>
          </w:tcPr>
          <w:p w14:paraId="66FBB49B" w14:textId="2DC5C9B1" w:rsidR="009F42DC" w:rsidRDefault="000F71C4" w:rsidP="00E71B9B">
            <w:pPr>
              <w:pStyle w:val="QCATableText"/>
              <w:ind w:left="-2127" w:firstLine="2127"/>
              <w:jc w:val="center"/>
            </w:pPr>
            <w:r>
              <w:t>1</w:t>
            </w:r>
          </w:p>
        </w:tc>
        <w:tc>
          <w:tcPr>
            <w:tcW w:w="1276" w:type="dxa"/>
            <w:tcBorders>
              <w:top w:val="dotted" w:sz="4" w:space="0" w:color="58595B"/>
              <w:bottom w:val="single" w:sz="4" w:space="0" w:color="auto"/>
            </w:tcBorders>
          </w:tcPr>
          <w:p w14:paraId="614C7D77" w14:textId="77777777" w:rsidR="009F42DC" w:rsidRDefault="009F42DC" w:rsidP="002702D9">
            <w:pPr>
              <w:pStyle w:val="QCATableText"/>
              <w:ind w:left="-2127" w:firstLine="2127"/>
              <w:jc w:val="center"/>
            </w:pPr>
            <w:r>
              <w:t>0</w:t>
            </w:r>
          </w:p>
        </w:tc>
        <w:tc>
          <w:tcPr>
            <w:tcW w:w="1433" w:type="dxa"/>
            <w:tcBorders>
              <w:top w:val="dotted" w:sz="4" w:space="0" w:color="58595B"/>
              <w:bottom w:val="single" w:sz="4" w:space="0" w:color="auto"/>
            </w:tcBorders>
          </w:tcPr>
          <w:p w14:paraId="4E76324B" w14:textId="77777777" w:rsidR="009F42DC" w:rsidRDefault="009F42DC" w:rsidP="002702D9">
            <w:pPr>
              <w:pStyle w:val="QCATableText"/>
              <w:ind w:left="-2127" w:firstLine="2127"/>
              <w:jc w:val="center"/>
            </w:pPr>
            <w:r>
              <w:t>0</w:t>
            </w:r>
          </w:p>
        </w:tc>
      </w:tr>
      <w:tr w:rsidR="009F42DC" w14:paraId="45E344FC" w14:textId="77777777" w:rsidTr="009F42DC">
        <w:trPr>
          <w:trHeight w:val="212"/>
        </w:trPr>
        <w:tc>
          <w:tcPr>
            <w:tcW w:w="2012" w:type="dxa"/>
            <w:tcBorders>
              <w:top w:val="single" w:sz="4" w:space="0" w:color="auto"/>
              <w:bottom w:val="dotted" w:sz="4" w:space="0" w:color="58595B"/>
            </w:tcBorders>
            <w:shd w:val="clear" w:color="auto" w:fill="auto"/>
          </w:tcPr>
          <w:p w14:paraId="340582BD" w14:textId="77777777" w:rsidR="009F42DC" w:rsidRPr="004416CF" w:rsidRDefault="009F42DC" w:rsidP="008A7263">
            <w:pPr>
              <w:pStyle w:val="QCATableText"/>
              <w:ind w:left="-2127" w:firstLine="2127"/>
            </w:pPr>
            <w:r>
              <w:t>Technical employees</w:t>
            </w:r>
          </w:p>
        </w:tc>
        <w:tc>
          <w:tcPr>
            <w:tcW w:w="1433" w:type="dxa"/>
            <w:tcBorders>
              <w:top w:val="single" w:sz="4" w:space="0" w:color="auto"/>
              <w:bottom w:val="dotted" w:sz="4" w:space="0" w:color="58595B"/>
            </w:tcBorders>
            <w:shd w:val="clear" w:color="auto" w:fill="auto"/>
          </w:tcPr>
          <w:p w14:paraId="52756AEB" w14:textId="17D7539C" w:rsidR="009F42DC" w:rsidRDefault="000F71C4" w:rsidP="003D2E09">
            <w:pPr>
              <w:pStyle w:val="QCATableText"/>
              <w:ind w:left="-2127" w:firstLine="2127"/>
              <w:jc w:val="center"/>
            </w:pPr>
            <w:r>
              <w:t>31</w:t>
            </w:r>
          </w:p>
        </w:tc>
        <w:tc>
          <w:tcPr>
            <w:tcW w:w="1233" w:type="dxa"/>
            <w:tcBorders>
              <w:top w:val="single" w:sz="4" w:space="0" w:color="auto"/>
              <w:bottom w:val="dotted" w:sz="4" w:space="0" w:color="58595B"/>
            </w:tcBorders>
            <w:shd w:val="clear" w:color="auto" w:fill="auto"/>
          </w:tcPr>
          <w:p w14:paraId="7D93A68A" w14:textId="3AAF4603" w:rsidR="009F42DC" w:rsidRDefault="000F71C4" w:rsidP="00FE3057">
            <w:pPr>
              <w:pStyle w:val="QCATableText"/>
              <w:ind w:left="-2127" w:firstLine="2127"/>
              <w:jc w:val="center"/>
            </w:pPr>
            <w:r>
              <w:t>19</w:t>
            </w:r>
          </w:p>
        </w:tc>
        <w:tc>
          <w:tcPr>
            <w:tcW w:w="1276" w:type="dxa"/>
            <w:tcBorders>
              <w:top w:val="single" w:sz="4" w:space="0" w:color="auto"/>
              <w:bottom w:val="dotted" w:sz="4" w:space="0" w:color="58595B"/>
            </w:tcBorders>
            <w:shd w:val="clear" w:color="auto" w:fill="auto"/>
          </w:tcPr>
          <w:p w14:paraId="2468EEED" w14:textId="711DBFB9" w:rsidR="009F42DC" w:rsidRDefault="000F71C4" w:rsidP="00E71B9B">
            <w:pPr>
              <w:pStyle w:val="QCATableText"/>
              <w:ind w:left="-2127" w:firstLine="2127"/>
              <w:jc w:val="center"/>
            </w:pPr>
            <w:r>
              <w:t>12</w:t>
            </w:r>
          </w:p>
        </w:tc>
        <w:tc>
          <w:tcPr>
            <w:tcW w:w="1276" w:type="dxa"/>
            <w:tcBorders>
              <w:top w:val="single" w:sz="4" w:space="0" w:color="auto"/>
              <w:bottom w:val="dotted" w:sz="4" w:space="0" w:color="58595B"/>
            </w:tcBorders>
          </w:tcPr>
          <w:p w14:paraId="68A2B810" w14:textId="37EEC8F0" w:rsidR="009F42DC" w:rsidRDefault="006E50CB" w:rsidP="002702D9">
            <w:pPr>
              <w:pStyle w:val="QCATableText"/>
              <w:ind w:left="-2127" w:firstLine="2127"/>
              <w:jc w:val="center"/>
            </w:pPr>
            <w:r>
              <w:t>4</w:t>
            </w:r>
          </w:p>
        </w:tc>
        <w:tc>
          <w:tcPr>
            <w:tcW w:w="1433" w:type="dxa"/>
            <w:tcBorders>
              <w:top w:val="single" w:sz="4" w:space="0" w:color="auto"/>
              <w:bottom w:val="dotted" w:sz="4" w:space="0" w:color="58595B"/>
            </w:tcBorders>
          </w:tcPr>
          <w:p w14:paraId="457C1FF8" w14:textId="77777777" w:rsidR="009F42DC" w:rsidRDefault="009F42DC" w:rsidP="002702D9">
            <w:pPr>
              <w:pStyle w:val="QCATableText"/>
              <w:ind w:left="-2127" w:firstLine="2127"/>
              <w:jc w:val="center"/>
            </w:pPr>
            <w:r>
              <w:t>0</w:t>
            </w:r>
          </w:p>
        </w:tc>
      </w:tr>
      <w:tr w:rsidR="009F42DC" w:rsidDel="00FB1ED2" w14:paraId="57613002" w14:textId="77777777" w:rsidTr="005B5A83">
        <w:trPr>
          <w:trHeight w:val="224"/>
        </w:trPr>
        <w:tc>
          <w:tcPr>
            <w:tcW w:w="2012" w:type="dxa"/>
            <w:tcBorders>
              <w:top w:val="dotted" w:sz="4" w:space="0" w:color="58595B"/>
              <w:bottom w:val="single" w:sz="4" w:space="0" w:color="auto"/>
            </w:tcBorders>
            <w:shd w:val="clear" w:color="auto" w:fill="auto"/>
          </w:tcPr>
          <w:p w14:paraId="3ADA53DC" w14:textId="77777777" w:rsidR="009F42DC" w:rsidRPr="004416CF" w:rsidDel="00FB1ED2" w:rsidRDefault="009F42DC" w:rsidP="008A7263">
            <w:pPr>
              <w:pStyle w:val="QCATableText"/>
              <w:ind w:left="-2127" w:firstLine="2127"/>
            </w:pPr>
            <w:r>
              <w:t>Support employees</w:t>
            </w:r>
          </w:p>
        </w:tc>
        <w:tc>
          <w:tcPr>
            <w:tcW w:w="1433" w:type="dxa"/>
            <w:tcBorders>
              <w:top w:val="dotted" w:sz="4" w:space="0" w:color="58595B"/>
              <w:bottom w:val="single" w:sz="4" w:space="0" w:color="auto"/>
            </w:tcBorders>
            <w:shd w:val="clear" w:color="auto" w:fill="auto"/>
          </w:tcPr>
          <w:p w14:paraId="64CFF05E" w14:textId="1D5105DC" w:rsidR="009F42DC" w:rsidDel="00FB1ED2" w:rsidRDefault="000F71C4" w:rsidP="003D2E09">
            <w:pPr>
              <w:pStyle w:val="QCATableText"/>
              <w:ind w:left="-2127" w:firstLine="2127"/>
              <w:jc w:val="center"/>
            </w:pPr>
            <w:r>
              <w:t>10</w:t>
            </w:r>
          </w:p>
        </w:tc>
        <w:tc>
          <w:tcPr>
            <w:tcW w:w="1233" w:type="dxa"/>
            <w:tcBorders>
              <w:top w:val="dotted" w:sz="4" w:space="0" w:color="58595B"/>
              <w:bottom w:val="single" w:sz="4" w:space="0" w:color="auto"/>
            </w:tcBorders>
            <w:shd w:val="clear" w:color="auto" w:fill="auto"/>
          </w:tcPr>
          <w:p w14:paraId="18453100" w14:textId="485A80E5" w:rsidR="009F42DC" w:rsidDel="00FB1ED2" w:rsidRDefault="000F71C4" w:rsidP="00FE3057">
            <w:pPr>
              <w:pStyle w:val="QCATableText"/>
              <w:ind w:left="-2127" w:firstLine="2127"/>
              <w:jc w:val="center"/>
            </w:pPr>
            <w:r>
              <w:t>4</w:t>
            </w:r>
          </w:p>
        </w:tc>
        <w:tc>
          <w:tcPr>
            <w:tcW w:w="1276" w:type="dxa"/>
            <w:tcBorders>
              <w:top w:val="dotted" w:sz="4" w:space="0" w:color="58595B"/>
              <w:bottom w:val="single" w:sz="4" w:space="0" w:color="auto"/>
            </w:tcBorders>
            <w:shd w:val="clear" w:color="auto" w:fill="auto"/>
          </w:tcPr>
          <w:p w14:paraId="3175813A" w14:textId="530F9EF7" w:rsidR="009F42DC" w:rsidDel="00FB1ED2" w:rsidRDefault="000F71C4" w:rsidP="00E71B9B">
            <w:pPr>
              <w:pStyle w:val="QCATableText"/>
              <w:ind w:left="-2127" w:firstLine="2127"/>
              <w:jc w:val="center"/>
            </w:pPr>
            <w:r>
              <w:t>6</w:t>
            </w:r>
          </w:p>
        </w:tc>
        <w:tc>
          <w:tcPr>
            <w:tcW w:w="1276" w:type="dxa"/>
            <w:tcBorders>
              <w:top w:val="dotted" w:sz="4" w:space="0" w:color="58595B"/>
              <w:bottom w:val="single" w:sz="4" w:space="0" w:color="auto"/>
            </w:tcBorders>
          </w:tcPr>
          <w:p w14:paraId="03EB58B4" w14:textId="19525867" w:rsidR="009F42DC" w:rsidRDefault="000F71C4" w:rsidP="002702D9">
            <w:pPr>
              <w:pStyle w:val="QCATableText"/>
              <w:ind w:left="-2127" w:firstLine="2127"/>
              <w:jc w:val="center"/>
            </w:pPr>
            <w:r>
              <w:t>3</w:t>
            </w:r>
          </w:p>
        </w:tc>
        <w:tc>
          <w:tcPr>
            <w:tcW w:w="1433" w:type="dxa"/>
            <w:tcBorders>
              <w:top w:val="dotted" w:sz="4" w:space="0" w:color="58595B"/>
              <w:bottom w:val="single" w:sz="4" w:space="0" w:color="auto"/>
            </w:tcBorders>
          </w:tcPr>
          <w:p w14:paraId="76B6A191" w14:textId="1BF199DF" w:rsidR="009F42DC" w:rsidRDefault="003D61F1" w:rsidP="002702D9">
            <w:pPr>
              <w:pStyle w:val="QCATableText"/>
              <w:ind w:left="-2127" w:firstLine="2127"/>
              <w:jc w:val="center"/>
            </w:pPr>
            <w:r>
              <w:t>0</w:t>
            </w:r>
          </w:p>
        </w:tc>
      </w:tr>
      <w:tr w:rsidR="009F42DC" w:rsidRPr="009F42DC" w14:paraId="2B63C53F" w14:textId="77777777" w:rsidTr="005B5A83">
        <w:trPr>
          <w:trHeight w:val="224"/>
        </w:trPr>
        <w:tc>
          <w:tcPr>
            <w:tcW w:w="2012" w:type="dxa"/>
            <w:tcBorders>
              <w:top w:val="single" w:sz="4" w:space="0" w:color="auto"/>
              <w:bottom w:val="single" w:sz="4" w:space="0" w:color="auto"/>
            </w:tcBorders>
            <w:shd w:val="clear" w:color="auto" w:fill="C0C0C0"/>
          </w:tcPr>
          <w:p w14:paraId="467BB224" w14:textId="77777777" w:rsidR="009F42DC" w:rsidRPr="009F42DC" w:rsidRDefault="009F42DC" w:rsidP="008A7263">
            <w:pPr>
              <w:pStyle w:val="QCATableText"/>
              <w:ind w:left="-2127" w:firstLine="2127"/>
              <w:rPr>
                <w:b/>
              </w:rPr>
            </w:pPr>
            <w:r w:rsidRPr="009F42DC">
              <w:rPr>
                <w:b/>
              </w:rPr>
              <w:t>Total</w:t>
            </w:r>
          </w:p>
        </w:tc>
        <w:tc>
          <w:tcPr>
            <w:tcW w:w="1433" w:type="dxa"/>
            <w:tcBorders>
              <w:top w:val="single" w:sz="4" w:space="0" w:color="auto"/>
              <w:bottom w:val="single" w:sz="4" w:space="0" w:color="auto"/>
            </w:tcBorders>
            <w:shd w:val="clear" w:color="auto" w:fill="C0C0C0"/>
          </w:tcPr>
          <w:p w14:paraId="126DDAC2" w14:textId="071625C3" w:rsidR="009F42DC" w:rsidRPr="009F42DC" w:rsidRDefault="000F71C4" w:rsidP="003D2E09">
            <w:pPr>
              <w:pStyle w:val="QCATableText"/>
              <w:ind w:left="-2127" w:firstLine="2127"/>
              <w:jc w:val="center"/>
              <w:rPr>
                <w:b/>
              </w:rPr>
            </w:pPr>
            <w:r>
              <w:rPr>
                <w:b/>
              </w:rPr>
              <w:t>45</w:t>
            </w:r>
          </w:p>
        </w:tc>
        <w:tc>
          <w:tcPr>
            <w:tcW w:w="1233" w:type="dxa"/>
            <w:tcBorders>
              <w:top w:val="single" w:sz="4" w:space="0" w:color="auto"/>
              <w:bottom w:val="single" w:sz="4" w:space="0" w:color="auto"/>
            </w:tcBorders>
            <w:shd w:val="clear" w:color="auto" w:fill="C0C0C0"/>
          </w:tcPr>
          <w:p w14:paraId="1B6E097D" w14:textId="77B3621C" w:rsidR="009F42DC" w:rsidRPr="009F42DC" w:rsidRDefault="000F71C4" w:rsidP="00FE3057">
            <w:pPr>
              <w:pStyle w:val="QCATableText"/>
              <w:ind w:left="-2127" w:firstLine="2127"/>
              <w:jc w:val="center"/>
              <w:rPr>
                <w:b/>
              </w:rPr>
            </w:pPr>
            <w:r>
              <w:rPr>
                <w:b/>
              </w:rPr>
              <w:t>26</w:t>
            </w:r>
          </w:p>
        </w:tc>
        <w:tc>
          <w:tcPr>
            <w:tcW w:w="1276" w:type="dxa"/>
            <w:tcBorders>
              <w:top w:val="single" w:sz="4" w:space="0" w:color="auto"/>
              <w:bottom w:val="single" w:sz="4" w:space="0" w:color="auto"/>
            </w:tcBorders>
            <w:shd w:val="clear" w:color="auto" w:fill="C0C0C0"/>
          </w:tcPr>
          <w:p w14:paraId="676EBF0C" w14:textId="37C7B5D2" w:rsidR="009F42DC" w:rsidRPr="009F42DC" w:rsidRDefault="000F71C4" w:rsidP="00E71B9B">
            <w:pPr>
              <w:pStyle w:val="QCATableText"/>
              <w:ind w:left="-2127" w:firstLine="2127"/>
              <w:jc w:val="center"/>
              <w:rPr>
                <w:b/>
              </w:rPr>
            </w:pPr>
            <w:r>
              <w:rPr>
                <w:b/>
              </w:rPr>
              <w:t>19</w:t>
            </w:r>
          </w:p>
        </w:tc>
        <w:tc>
          <w:tcPr>
            <w:tcW w:w="1276" w:type="dxa"/>
            <w:tcBorders>
              <w:top w:val="single" w:sz="4" w:space="0" w:color="auto"/>
              <w:bottom w:val="single" w:sz="4" w:space="0" w:color="auto"/>
            </w:tcBorders>
            <w:shd w:val="clear" w:color="auto" w:fill="C0C0C0"/>
          </w:tcPr>
          <w:p w14:paraId="1EA429DF" w14:textId="039717A1" w:rsidR="009F42DC" w:rsidRPr="009F42DC" w:rsidRDefault="000F71C4" w:rsidP="002702D9">
            <w:pPr>
              <w:pStyle w:val="QCATableText"/>
              <w:ind w:left="-2127" w:firstLine="2127"/>
              <w:jc w:val="center"/>
              <w:rPr>
                <w:b/>
              </w:rPr>
            </w:pPr>
            <w:r>
              <w:rPr>
                <w:b/>
              </w:rPr>
              <w:t>7</w:t>
            </w:r>
          </w:p>
        </w:tc>
        <w:tc>
          <w:tcPr>
            <w:tcW w:w="1433" w:type="dxa"/>
            <w:tcBorders>
              <w:top w:val="single" w:sz="4" w:space="0" w:color="auto"/>
              <w:bottom w:val="single" w:sz="4" w:space="0" w:color="auto"/>
            </w:tcBorders>
            <w:shd w:val="clear" w:color="auto" w:fill="C0C0C0"/>
          </w:tcPr>
          <w:p w14:paraId="1AE702D1" w14:textId="77777777" w:rsidR="009F42DC" w:rsidRPr="009F42DC" w:rsidRDefault="009F42DC" w:rsidP="002702D9">
            <w:pPr>
              <w:pStyle w:val="QCATableText"/>
              <w:ind w:left="-2127" w:firstLine="2127"/>
              <w:jc w:val="center"/>
              <w:rPr>
                <w:b/>
              </w:rPr>
            </w:pPr>
            <w:r w:rsidRPr="009F42DC">
              <w:rPr>
                <w:b/>
              </w:rPr>
              <w:t>0</w:t>
            </w:r>
          </w:p>
        </w:tc>
      </w:tr>
    </w:tbl>
    <w:p w14:paraId="6AAE94C6" w14:textId="567222E6" w:rsidR="00C35F5E" w:rsidRDefault="009C5D62" w:rsidP="00BB22B0">
      <w:pPr>
        <w:pStyle w:val="Heading3"/>
        <w:spacing w:before="120"/>
        <w:ind w:left="-284"/>
      </w:pPr>
      <w:r w:rsidRPr="009C5D62">
        <w:t xml:space="preserve">Workforce </w:t>
      </w:r>
      <w:r w:rsidR="00F93B39">
        <w:t>p</w:t>
      </w:r>
      <w:r w:rsidRPr="009C5D62">
        <w:t>rofile</w:t>
      </w:r>
      <w:r w:rsidR="003A2362" w:rsidRPr="004416CF">
        <w:rPr>
          <w:color w:val="3B3838" w:themeColor="background2" w:themeShade="40"/>
        </w:rPr>
        <w:t xml:space="preserve"> </w:t>
      </w:r>
      <w:r w:rsidRPr="005802A6">
        <w:t xml:space="preserve">as </w:t>
      </w:r>
      <w:proofErr w:type="gramStart"/>
      <w:r w:rsidRPr="005802A6">
        <w:t>at</w:t>
      </w:r>
      <w:proofErr w:type="gramEnd"/>
      <w:r w:rsidRPr="005802A6">
        <w:t xml:space="preserve"> 30 June </w:t>
      </w:r>
      <w:r w:rsidR="006E50CB" w:rsidRPr="005802A6">
        <w:t>20</w:t>
      </w:r>
      <w:r w:rsidR="006E50CB">
        <w:t>2</w:t>
      </w:r>
      <w:r w:rsidR="00744F27">
        <w:t>1</w:t>
      </w:r>
    </w:p>
    <w:p w14:paraId="027491DD" w14:textId="77777777" w:rsidR="00102A3A" w:rsidRDefault="00102A3A" w:rsidP="005B5A83">
      <w:pPr>
        <w:pStyle w:val="QCABodyText"/>
        <w:spacing w:before="0"/>
        <w:ind w:left="284"/>
        <w:rPr>
          <w:color w:val="auto"/>
        </w:rPr>
      </w:pPr>
    </w:p>
    <w:p w14:paraId="7727DA70" w14:textId="04912A12" w:rsidR="00E83CDC" w:rsidRPr="000E7E61" w:rsidRDefault="008A7263" w:rsidP="005B5A83">
      <w:pPr>
        <w:pStyle w:val="QCABodyText"/>
        <w:spacing w:before="0"/>
        <w:ind w:left="284"/>
        <w:rPr>
          <w:i/>
        </w:rPr>
      </w:pPr>
      <w:r w:rsidRPr="003D2E09">
        <w:rPr>
          <w:color w:val="auto"/>
        </w:rPr>
        <w:t>*</w:t>
      </w:r>
      <w:r w:rsidR="00E83CDC" w:rsidRPr="000E7E61">
        <w:rPr>
          <w:rStyle w:val="SubtleEmphasis"/>
        </w:rPr>
        <w:t>Non–English speaking background (voluntary disclosure)</w:t>
      </w:r>
    </w:p>
    <w:p w14:paraId="60D6134A" w14:textId="50079B20" w:rsidR="00DF2DF3" w:rsidRDefault="00E83CDC" w:rsidP="005B5A83">
      <w:pPr>
        <w:pStyle w:val="QCABodyText"/>
        <w:ind w:left="142"/>
      </w:pPr>
      <w:r w:rsidRPr="003D2E09">
        <w:rPr>
          <w:color w:val="auto"/>
        </w:rPr>
        <w:t>**</w:t>
      </w:r>
      <w:r w:rsidRPr="000E7E61">
        <w:rPr>
          <w:rStyle w:val="SubtleEmphasis"/>
        </w:rPr>
        <w:t>Aboriginal and/or Torres Strait Islander (voluntary disclosure)</w:t>
      </w:r>
    </w:p>
    <w:p w14:paraId="0D812F92" w14:textId="73B1C039" w:rsidR="00E83CDC" w:rsidRPr="00DF2DF3" w:rsidRDefault="000F71C4" w:rsidP="00997350">
      <w:pPr>
        <w:pStyle w:val="QCABodyText"/>
        <w:spacing w:before="240"/>
      </w:pPr>
      <w:r>
        <w:rPr>
          <w:noProof/>
        </w:rPr>
        <w:drawing>
          <wp:inline distT="0" distB="0" distL="0" distR="0" wp14:anchorId="40DDDE98" wp14:editId="1AB1329B">
            <wp:extent cx="5731510" cy="3988435"/>
            <wp:effectExtent l="0" t="0" r="2540" b="12065"/>
            <wp:docPr id="4" name="Chart 4">
              <a:extLst xmlns:a="http://schemas.openxmlformats.org/drawingml/2006/main">
                <a:ext uri="{FF2B5EF4-FFF2-40B4-BE49-F238E27FC236}">
                  <a16:creationId xmlns:a16="http://schemas.microsoft.com/office/drawing/2014/main" id="{FB329B06-FEA7-4CCD-B889-FEDAA4385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6866CC" w14:textId="1E0A8CE5" w:rsidR="003D61F1" w:rsidRDefault="003D61F1" w:rsidP="00997350">
      <w:pPr>
        <w:pStyle w:val="QCABodyText"/>
        <w:ind w:left="-2552"/>
      </w:pPr>
    </w:p>
    <w:p w14:paraId="0FB42C1F" w14:textId="5B1A01DF" w:rsidR="00BA3CB3" w:rsidRDefault="00BA3CB3" w:rsidP="009968BE">
      <w:pPr>
        <w:pStyle w:val="QCABodyText"/>
        <w:tabs>
          <w:tab w:val="left" w:pos="-2835"/>
        </w:tabs>
        <w:spacing w:before="0" w:after="0"/>
        <w:ind w:left="-2410"/>
        <w:rPr>
          <w:rStyle w:val="SubtleEmphasis"/>
        </w:rPr>
      </w:pPr>
    </w:p>
    <w:p w14:paraId="117B90E4" w14:textId="77777777" w:rsidR="000F71C4" w:rsidRDefault="000F71C4">
      <w:pPr>
        <w:spacing w:before="0" w:after="160" w:line="259" w:lineRule="auto"/>
        <w:rPr>
          <w:rFonts w:asciiTheme="majorHAnsi" w:eastAsiaTheme="majorEastAsia" w:hAnsiTheme="majorHAnsi" w:cstheme="majorBidi"/>
          <w:color w:val="767171" w:themeColor="background2" w:themeShade="80"/>
          <w:sz w:val="24"/>
          <w:szCs w:val="28"/>
        </w:rPr>
      </w:pPr>
      <w:r>
        <w:br w:type="page"/>
      </w:r>
    </w:p>
    <w:p w14:paraId="480FFEE1" w14:textId="05282F6A" w:rsidR="00C35F5E" w:rsidRDefault="00F5281C" w:rsidP="00731D6C">
      <w:pPr>
        <w:pStyle w:val="Heading3"/>
        <w:spacing w:before="0"/>
        <w:ind w:left="-284"/>
      </w:pPr>
      <w:r>
        <w:lastRenderedPageBreak/>
        <w:t xml:space="preserve">Flexible work arrangements as </w:t>
      </w:r>
      <w:proofErr w:type="gramStart"/>
      <w:r>
        <w:t>at</w:t>
      </w:r>
      <w:proofErr w:type="gramEnd"/>
      <w:r>
        <w:t xml:space="preserve"> 30 June </w:t>
      </w:r>
      <w:r w:rsidR="00DB1D26">
        <w:t>202</w:t>
      </w:r>
      <w:r w:rsidR="00744F27">
        <w:t>1</w:t>
      </w:r>
    </w:p>
    <w:tbl>
      <w:tblPr>
        <w:tblW w:w="9247" w:type="dxa"/>
        <w:tblBorders>
          <w:top w:val="single" w:sz="4" w:space="0" w:color="00B0F0"/>
          <w:insideH w:val="dotted" w:sz="4" w:space="0" w:color="58595B"/>
        </w:tblBorders>
        <w:shd w:val="clear" w:color="auto" w:fill="F4F0E6"/>
        <w:tblCellMar>
          <w:top w:w="57" w:type="dxa"/>
          <w:bottom w:w="57" w:type="dxa"/>
        </w:tblCellMar>
        <w:tblLook w:val="06A0" w:firstRow="1" w:lastRow="0" w:firstColumn="1" w:lastColumn="0" w:noHBand="1" w:noVBand="1"/>
      </w:tblPr>
      <w:tblGrid>
        <w:gridCol w:w="3039"/>
        <w:gridCol w:w="2245"/>
        <w:gridCol w:w="2114"/>
        <w:gridCol w:w="1849"/>
      </w:tblGrid>
      <w:tr w:rsidR="00FB1ED2" w:rsidRPr="004416CF" w14:paraId="35A8AB18" w14:textId="77777777" w:rsidTr="00857E73">
        <w:trPr>
          <w:trHeight w:hRule="exact" w:val="951"/>
          <w:tblHeader/>
        </w:trPr>
        <w:tc>
          <w:tcPr>
            <w:tcW w:w="3039" w:type="dxa"/>
            <w:tcBorders>
              <w:top w:val="nil"/>
              <w:bottom w:val="single" w:sz="4" w:space="0" w:color="auto"/>
            </w:tcBorders>
            <w:shd w:val="clear" w:color="auto" w:fill="auto"/>
          </w:tcPr>
          <w:p w14:paraId="30B9F6FD" w14:textId="77777777" w:rsidR="00FB1ED2" w:rsidRPr="004416CF" w:rsidRDefault="00FB1ED2" w:rsidP="00857E73">
            <w:pPr>
              <w:pStyle w:val="QCATableHeading"/>
              <w:ind w:left="-2126" w:firstLine="2126"/>
            </w:pPr>
          </w:p>
        </w:tc>
        <w:tc>
          <w:tcPr>
            <w:tcW w:w="2245" w:type="dxa"/>
            <w:tcBorders>
              <w:top w:val="nil"/>
              <w:bottom w:val="single" w:sz="4" w:space="0" w:color="auto"/>
            </w:tcBorders>
            <w:shd w:val="clear" w:color="auto" w:fill="auto"/>
          </w:tcPr>
          <w:p w14:paraId="1E007E34" w14:textId="03BCDE0E" w:rsidR="00FB1ED2" w:rsidRDefault="00571C2A" w:rsidP="00857E73">
            <w:pPr>
              <w:pStyle w:val="QCATableHeading"/>
              <w:ind w:left="-2041" w:right="-729" w:firstLine="2127"/>
            </w:pPr>
            <w:r>
              <w:t xml:space="preserve">Employees </w:t>
            </w:r>
            <w:r w:rsidR="00FB1ED2">
              <w:t>with</w:t>
            </w:r>
          </w:p>
          <w:p w14:paraId="69451FE0" w14:textId="2A8F46D2" w:rsidR="00FB1ED2" w:rsidRDefault="000F0487">
            <w:pPr>
              <w:pStyle w:val="QCATableHeading"/>
              <w:ind w:left="-2041" w:right="-729" w:firstLine="2127"/>
            </w:pPr>
            <w:r>
              <w:t>f</w:t>
            </w:r>
            <w:r w:rsidR="00FB1ED2">
              <w:t>lexible</w:t>
            </w:r>
            <w:r>
              <w:t xml:space="preserve"> </w:t>
            </w:r>
            <w:r w:rsidR="00FB1ED2">
              <w:t>arrangements</w:t>
            </w:r>
          </w:p>
        </w:tc>
        <w:tc>
          <w:tcPr>
            <w:tcW w:w="2114" w:type="dxa"/>
            <w:tcBorders>
              <w:top w:val="nil"/>
              <w:bottom w:val="single" w:sz="4" w:space="0" w:color="auto"/>
            </w:tcBorders>
            <w:shd w:val="clear" w:color="auto" w:fill="auto"/>
          </w:tcPr>
          <w:p w14:paraId="3D94EABE" w14:textId="68428E91" w:rsidR="00571C2A" w:rsidRDefault="00FB1ED2" w:rsidP="00F557CB">
            <w:pPr>
              <w:pStyle w:val="QCATableHeading"/>
              <w:ind w:left="-2041" w:firstLine="2127"/>
              <w:jc w:val="center"/>
            </w:pPr>
            <w:r>
              <w:t>Part-time</w:t>
            </w:r>
          </w:p>
          <w:p w14:paraId="1BE4B7A8" w14:textId="7F9F8358" w:rsidR="00FB1ED2" w:rsidRDefault="00571C2A" w:rsidP="00F557CB">
            <w:pPr>
              <w:pStyle w:val="QCATableHeading"/>
              <w:ind w:left="-2041" w:firstLine="2127"/>
              <w:jc w:val="center"/>
            </w:pPr>
            <w:r>
              <w:t>employees</w:t>
            </w:r>
          </w:p>
        </w:tc>
        <w:tc>
          <w:tcPr>
            <w:tcW w:w="1849" w:type="dxa"/>
            <w:tcBorders>
              <w:top w:val="nil"/>
              <w:bottom w:val="single" w:sz="4" w:space="0" w:color="auto"/>
            </w:tcBorders>
            <w:shd w:val="clear" w:color="auto" w:fill="auto"/>
          </w:tcPr>
          <w:p w14:paraId="32DB21F7" w14:textId="257EB304" w:rsidR="00DA0ABB" w:rsidRDefault="00571C2A" w:rsidP="00857E73">
            <w:pPr>
              <w:pStyle w:val="QCATableHeading"/>
              <w:ind w:left="-2041" w:firstLine="2127"/>
            </w:pPr>
            <w:r>
              <w:t xml:space="preserve">Employees </w:t>
            </w:r>
            <w:r w:rsidR="0089275D">
              <w:t>who</w:t>
            </w:r>
          </w:p>
          <w:p w14:paraId="3066755C" w14:textId="559CC0CD" w:rsidR="0089275D" w:rsidRDefault="0089275D">
            <w:pPr>
              <w:pStyle w:val="QCATableHeading"/>
              <w:ind w:left="-2041" w:firstLine="2127"/>
            </w:pPr>
            <w:r>
              <w:t>purchased l</w:t>
            </w:r>
            <w:r w:rsidR="00DA0ABB">
              <w:t>eave</w:t>
            </w:r>
            <w:r w:rsidR="006054D4">
              <w:t xml:space="preserve"> </w:t>
            </w:r>
          </w:p>
        </w:tc>
      </w:tr>
      <w:tr w:rsidR="00FB1ED2" w:rsidRPr="004416CF" w14:paraId="76DE2C46" w14:textId="77777777" w:rsidTr="00857E73">
        <w:trPr>
          <w:trHeight w:val="268"/>
        </w:trPr>
        <w:tc>
          <w:tcPr>
            <w:tcW w:w="3039" w:type="dxa"/>
            <w:tcBorders>
              <w:top w:val="single" w:sz="4" w:space="0" w:color="auto"/>
              <w:bottom w:val="dotted" w:sz="4" w:space="0" w:color="58595B"/>
            </w:tcBorders>
            <w:shd w:val="clear" w:color="auto" w:fill="auto"/>
          </w:tcPr>
          <w:p w14:paraId="22B89023" w14:textId="6501F245" w:rsidR="00FB1ED2" w:rsidRPr="004416CF" w:rsidRDefault="00FB1ED2" w:rsidP="00857E73">
            <w:pPr>
              <w:pStyle w:val="QCATableText"/>
              <w:ind w:left="-2041" w:firstLine="2127"/>
            </w:pPr>
            <w:r>
              <w:t>Male</w:t>
            </w:r>
          </w:p>
        </w:tc>
        <w:tc>
          <w:tcPr>
            <w:tcW w:w="2245" w:type="dxa"/>
            <w:tcBorders>
              <w:top w:val="single" w:sz="4" w:space="0" w:color="auto"/>
              <w:bottom w:val="dotted" w:sz="4" w:space="0" w:color="58595B"/>
            </w:tcBorders>
            <w:shd w:val="clear" w:color="auto" w:fill="auto"/>
          </w:tcPr>
          <w:p w14:paraId="1D7E4F15" w14:textId="71AFADC7" w:rsidR="00FB1ED2" w:rsidRDefault="000F71C4" w:rsidP="00857E73">
            <w:pPr>
              <w:pStyle w:val="QCATableText"/>
              <w:ind w:left="-2041" w:firstLine="2127"/>
              <w:jc w:val="center"/>
            </w:pPr>
            <w:r>
              <w:t>25</w:t>
            </w:r>
          </w:p>
        </w:tc>
        <w:tc>
          <w:tcPr>
            <w:tcW w:w="2114" w:type="dxa"/>
            <w:tcBorders>
              <w:top w:val="single" w:sz="4" w:space="0" w:color="auto"/>
              <w:bottom w:val="dotted" w:sz="4" w:space="0" w:color="58595B"/>
            </w:tcBorders>
            <w:shd w:val="clear" w:color="auto" w:fill="auto"/>
          </w:tcPr>
          <w:p w14:paraId="11AC8D3B" w14:textId="5D4A8048" w:rsidR="00FB1ED2" w:rsidRDefault="00DB1D26" w:rsidP="00857E73">
            <w:pPr>
              <w:pStyle w:val="QCATableText"/>
              <w:ind w:left="-2041" w:firstLine="2127"/>
              <w:jc w:val="center"/>
            </w:pPr>
            <w:r>
              <w:t>1</w:t>
            </w:r>
          </w:p>
        </w:tc>
        <w:tc>
          <w:tcPr>
            <w:tcW w:w="1849" w:type="dxa"/>
            <w:tcBorders>
              <w:top w:val="single" w:sz="4" w:space="0" w:color="auto"/>
              <w:bottom w:val="dotted" w:sz="4" w:space="0" w:color="58595B"/>
            </w:tcBorders>
            <w:shd w:val="clear" w:color="auto" w:fill="auto"/>
          </w:tcPr>
          <w:p w14:paraId="23B2D78B" w14:textId="3555B88E" w:rsidR="00FB1ED2" w:rsidRDefault="00EE60CB" w:rsidP="00857E73">
            <w:pPr>
              <w:pStyle w:val="QCATableText"/>
              <w:ind w:left="-2041" w:firstLine="2127"/>
              <w:jc w:val="center"/>
            </w:pPr>
            <w:r>
              <w:t>0</w:t>
            </w:r>
          </w:p>
        </w:tc>
      </w:tr>
      <w:tr w:rsidR="00FB1ED2" w:rsidRPr="004416CF" w14:paraId="6F60AB3A" w14:textId="77777777" w:rsidTr="00857E73">
        <w:trPr>
          <w:trHeight w:val="268"/>
        </w:trPr>
        <w:tc>
          <w:tcPr>
            <w:tcW w:w="3039" w:type="dxa"/>
            <w:tcBorders>
              <w:top w:val="dotted" w:sz="4" w:space="0" w:color="58595B"/>
              <w:bottom w:val="single" w:sz="4" w:space="0" w:color="auto"/>
            </w:tcBorders>
            <w:shd w:val="clear" w:color="auto" w:fill="auto"/>
          </w:tcPr>
          <w:p w14:paraId="445569BF" w14:textId="711AD929" w:rsidR="00FB1ED2" w:rsidRPr="004416CF" w:rsidRDefault="00FB1ED2" w:rsidP="00857E73">
            <w:pPr>
              <w:pStyle w:val="QCATableText"/>
              <w:ind w:left="-2041" w:firstLine="2127"/>
            </w:pPr>
            <w:r>
              <w:t>Female</w:t>
            </w:r>
          </w:p>
        </w:tc>
        <w:tc>
          <w:tcPr>
            <w:tcW w:w="2245" w:type="dxa"/>
            <w:tcBorders>
              <w:top w:val="dotted" w:sz="4" w:space="0" w:color="58595B"/>
              <w:bottom w:val="single" w:sz="4" w:space="0" w:color="auto"/>
            </w:tcBorders>
            <w:shd w:val="clear" w:color="auto" w:fill="auto"/>
          </w:tcPr>
          <w:p w14:paraId="1BC6A905" w14:textId="0E282366" w:rsidR="00FB1ED2" w:rsidRDefault="00DB1D26" w:rsidP="00857E73">
            <w:pPr>
              <w:pStyle w:val="QCATableText"/>
              <w:ind w:left="-2041" w:firstLine="2127"/>
              <w:jc w:val="center"/>
            </w:pPr>
            <w:r>
              <w:t>18</w:t>
            </w:r>
          </w:p>
        </w:tc>
        <w:tc>
          <w:tcPr>
            <w:tcW w:w="2114" w:type="dxa"/>
            <w:tcBorders>
              <w:top w:val="dotted" w:sz="4" w:space="0" w:color="58595B"/>
              <w:bottom w:val="single" w:sz="4" w:space="0" w:color="auto"/>
            </w:tcBorders>
            <w:shd w:val="clear" w:color="auto" w:fill="auto"/>
          </w:tcPr>
          <w:p w14:paraId="2F4ED61F" w14:textId="34E2C058" w:rsidR="00FB1ED2" w:rsidRDefault="00DB1D26" w:rsidP="00857E73">
            <w:pPr>
              <w:pStyle w:val="QCATableText"/>
              <w:ind w:left="-2041" w:firstLine="2127"/>
              <w:jc w:val="center"/>
            </w:pPr>
            <w:r>
              <w:t>3</w:t>
            </w:r>
          </w:p>
        </w:tc>
        <w:tc>
          <w:tcPr>
            <w:tcW w:w="1849" w:type="dxa"/>
            <w:tcBorders>
              <w:top w:val="dotted" w:sz="4" w:space="0" w:color="58595B"/>
              <w:bottom w:val="single" w:sz="4" w:space="0" w:color="auto"/>
            </w:tcBorders>
            <w:shd w:val="clear" w:color="auto" w:fill="auto"/>
          </w:tcPr>
          <w:p w14:paraId="7E792AAA" w14:textId="79F9C3F6" w:rsidR="00FB1ED2" w:rsidRDefault="00DB1D26" w:rsidP="00857E73">
            <w:pPr>
              <w:pStyle w:val="QCATableText"/>
              <w:ind w:left="-2041" w:firstLine="2127"/>
              <w:jc w:val="center"/>
            </w:pPr>
            <w:r>
              <w:t>2</w:t>
            </w:r>
          </w:p>
        </w:tc>
      </w:tr>
      <w:tr w:rsidR="00FB1ED2" w:rsidRPr="004416CF" w14:paraId="4BDBC3E5" w14:textId="77777777" w:rsidTr="00857E73">
        <w:trPr>
          <w:trHeight w:val="253"/>
        </w:trPr>
        <w:tc>
          <w:tcPr>
            <w:tcW w:w="3039" w:type="dxa"/>
            <w:tcBorders>
              <w:top w:val="single" w:sz="4" w:space="0" w:color="auto"/>
              <w:bottom w:val="dotted" w:sz="4" w:space="0" w:color="58595B"/>
            </w:tcBorders>
            <w:shd w:val="clear" w:color="auto" w:fill="auto"/>
          </w:tcPr>
          <w:p w14:paraId="6A95B226" w14:textId="4C658A3E" w:rsidR="00FB1ED2" w:rsidRPr="004416CF" w:rsidRDefault="00FB1ED2" w:rsidP="00857E73">
            <w:pPr>
              <w:pStyle w:val="QCATableText"/>
              <w:ind w:left="-2041" w:firstLine="2127"/>
            </w:pPr>
            <w:r>
              <w:t>NESB*</w:t>
            </w:r>
          </w:p>
        </w:tc>
        <w:tc>
          <w:tcPr>
            <w:tcW w:w="2245" w:type="dxa"/>
            <w:tcBorders>
              <w:top w:val="single" w:sz="4" w:space="0" w:color="auto"/>
              <w:bottom w:val="dotted" w:sz="4" w:space="0" w:color="58595B"/>
            </w:tcBorders>
            <w:shd w:val="clear" w:color="auto" w:fill="auto"/>
          </w:tcPr>
          <w:p w14:paraId="0BE0532B" w14:textId="7BAA94F0" w:rsidR="00FB1ED2" w:rsidRDefault="000F71C4" w:rsidP="00857E73">
            <w:pPr>
              <w:pStyle w:val="QCATableText"/>
              <w:ind w:left="-2041" w:firstLine="2127"/>
              <w:jc w:val="center"/>
            </w:pPr>
            <w:r>
              <w:t>7</w:t>
            </w:r>
          </w:p>
        </w:tc>
        <w:tc>
          <w:tcPr>
            <w:tcW w:w="2114" w:type="dxa"/>
            <w:tcBorders>
              <w:top w:val="single" w:sz="4" w:space="0" w:color="auto"/>
              <w:bottom w:val="dotted" w:sz="4" w:space="0" w:color="58595B"/>
            </w:tcBorders>
            <w:shd w:val="clear" w:color="auto" w:fill="auto"/>
          </w:tcPr>
          <w:p w14:paraId="37E359A9" w14:textId="0C959F60" w:rsidR="00FB1ED2" w:rsidRDefault="00EE60CB" w:rsidP="00857E73">
            <w:pPr>
              <w:pStyle w:val="QCATableText"/>
              <w:ind w:left="-2041" w:firstLine="2127"/>
              <w:jc w:val="center"/>
            </w:pPr>
            <w:r>
              <w:t>0</w:t>
            </w:r>
          </w:p>
        </w:tc>
        <w:tc>
          <w:tcPr>
            <w:tcW w:w="1849" w:type="dxa"/>
            <w:tcBorders>
              <w:top w:val="single" w:sz="4" w:space="0" w:color="auto"/>
              <w:bottom w:val="dotted" w:sz="4" w:space="0" w:color="58595B"/>
            </w:tcBorders>
            <w:shd w:val="clear" w:color="auto" w:fill="auto"/>
          </w:tcPr>
          <w:p w14:paraId="27F37559" w14:textId="630FEABB" w:rsidR="00FB1ED2" w:rsidRDefault="00EE60CB" w:rsidP="00857E73">
            <w:pPr>
              <w:pStyle w:val="QCATableText"/>
              <w:ind w:left="-2041" w:firstLine="2127"/>
              <w:jc w:val="center"/>
            </w:pPr>
            <w:r>
              <w:t>0</w:t>
            </w:r>
          </w:p>
        </w:tc>
      </w:tr>
      <w:tr w:rsidR="00FB1ED2" w:rsidRPr="004416CF" w14:paraId="5EB17BD0" w14:textId="77777777" w:rsidTr="00857E73">
        <w:trPr>
          <w:trHeight w:val="268"/>
        </w:trPr>
        <w:tc>
          <w:tcPr>
            <w:tcW w:w="3039" w:type="dxa"/>
            <w:tcBorders>
              <w:top w:val="dotted" w:sz="4" w:space="0" w:color="58595B"/>
              <w:bottom w:val="dotted" w:sz="4" w:space="0" w:color="58595B"/>
            </w:tcBorders>
            <w:shd w:val="clear" w:color="auto" w:fill="auto"/>
          </w:tcPr>
          <w:p w14:paraId="51D32E4C" w14:textId="6AA299C9" w:rsidR="00FB1ED2" w:rsidRPr="004416CF" w:rsidDel="00FB1ED2" w:rsidRDefault="00FB1ED2" w:rsidP="00857E73">
            <w:pPr>
              <w:pStyle w:val="QCATableText"/>
              <w:ind w:left="-2041" w:firstLine="2127"/>
            </w:pPr>
            <w:r>
              <w:t>Technical staff</w:t>
            </w:r>
          </w:p>
        </w:tc>
        <w:tc>
          <w:tcPr>
            <w:tcW w:w="2245" w:type="dxa"/>
            <w:tcBorders>
              <w:top w:val="dotted" w:sz="4" w:space="0" w:color="58595B"/>
              <w:bottom w:val="dotted" w:sz="4" w:space="0" w:color="58595B"/>
            </w:tcBorders>
            <w:shd w:val="clear" w:color="auto" w:fill="auto"/>
          </w:tcPr>
          <w:p w14:paraId="2DA40DAD" w14:textId="5A20BFE2" w:rsidR="00FB1ED2" w:rsidDel="00FB1ED2" w:rsidRDefault="00DB1D26" w:rsidP="00857E73">
            <w:pPr>
              <w:pStyle w:val="QCATableText"/>
              <w:ind w:left="-2041" w:firstLine="2127"/>
              <w:jc w:val="center"/>
            </w:pPr>
            <w:r>
              <w:t>3</w:t>
            </w:r>
            <w:r w:rsidR="000F71C4">
              <w:t>1</w:t>
            </w:r>
          </w:p>
        </w:tc>
        <w:tc>
          <w:tcPr>
            <w:tcW w:w="2114" w:type="dxa"/>
            <w:tcBorders>
              <w:top w:val="dotted" w:sz="4" w:space="0" w:color="58595B"/>
              <w:bottom w:val="dotted" w:sz="4" w:space="0" w:color="58595B"/>
            </w:tcBorders>
            <w:shd w:val="clear" w:color="auto" w:fill="auto"/>
          </w:tcPr>
          <w:p w14:paraId="09AD6730" w14:textId="661474E6" w:rsidR="00FB1ED2" w:rsidDel="00FB1ED2" w:rsidRDefault="00DB1D26" w:rsidP="00857E73">
            <w:pPr>
              <w:pStyle w:val="QCATableText"/>
              <w:ind w:left="-2041" w:firstLine="2127"/>
              <w:jc w:val="center"/>
            </w:pPr>
            <w:r>
              <w:t>3</w:t>
            </w:r>
          </w:p>
        </w:tc>
        <w:tc>
          <w:tcPr>
            <w:tcW w:w="1849" w:type="dxa"/>
            <w:tcBorders>
              <w:top w:val="dotted" w:sz="4" w:space="0" w:color="58595B"/>
              <w:bottom w:val="dotted" w:sz="4" w:space="0" w:color="58595B"/>
            </w:tcBorders>
            <w:shd w:val="clear" w:color="auto" w:fill="auto"/>
          </w:tcPr>
          <w:p w14:paraId="5C5C5EE6" w14:textId="39D59AC9" w:rsidR="00FB1ED2" w:rsidDel="00FB1ED2" w:rsidRDefault="00DB1D26" w:rsidP="00857E73">
            <w:pPr>
              <w:pStyle w:val="QCATableText"/>
              <w:ind w:left="-2041" w:firstLine="2127"/>
              <w:jc w:val="center"/>
            </w:pPr>
            <w:r>
              <w:t>1</w:t>
            </w:r>
          </w:p>
        </w:tc>
      </w:tr>
      <w:tr w:rsidR="00FB1ED2" w:rsidRPr="004416CF" w14:paraId="4542DC64" w14:textId="77777777" w:rsidTr="00857E73">
        <w:trPr>
          <w:trHeight w:val="268"/>
        </w:trPr>
        <w:tc>
          <w:tcPr>
            <w:tcW w:w="3039" w:type="dxa"/>
            <w:tcBorders>
              <w:top w:val="dotted" w:sz="4" w:space="0" w:color="58595B"/>
              <w:bottom w:val="dotted" w:sz="4" w:space="0" w:color="58595B"/>
            </w:tcBorders>
            <w:shd w:val="clear" w:color="auto" w:fill="auto"/>
          </w:tcPr>
          <w:p w14:paraId="48F71237" w14:textId="404B378C" w:rsidR="00FB1ED2" w:rsidRPr="004416CF" w:rsidRDefault="00FB1ED2" w:rsidP="00857E73">
            <w:pPr>
              <w:pStyle w:val="QCATableText"/>
              <w:ind w:left="-2041" w:firstLine="2127"/>
            </w:pPr>
            <w:r w:rsidRPr="004416CF">
              <w:t xml:space="preserve">Support </w:t>
            </w:r>
            <w:r w:rsidR="00132A3B">
              <w:t>s</w:t>
            </w:r>
            <w:r w:rsidRPr="004416CF">
              <w:t xml:space="preserve">taff </w:t>
            </w:r>
          </w:p>
        </w:tc>
        <w:tc>
          <w:tcPr>
            <w:tcW w:w="2245" w:type="dxa"/>
            <w:tcBorders>
              <w:top w:val="dotted" w:sz="4" w:space="0" w:color="58595B"/>
              <w:bottom w:val="dotted" w:sz="4" w:space="0" w:color="58595B"/>
            </w:tcBorders>
            <w:shd w:val="clear" w:color="auto" w:fill="auto"/>
          </w:tcPr>
          <w:p w14:paraId="4982A2A5" w14:textId="529FD4D4" w:rsidR="00FB1ED2" w:rsidRDefault="00DB1D26" w:rsidP="00857E73">
            <w:pPr>
              <w:pStyle w:val="QCATableText"/>
              <w:ind w:left="-2041" w:firstLine="2127"/>
              <w:jc w:val="center"/>
            </w:pPr>
            <w:r>
              <w:t>8</w:t>
            </w:r>
          </w:p>
        </w:tc>
        <w:tc>
          <w:tcPr>
            <w:tcW w:w="2114" w:type="dxa"/>
            <w:tcBorders>
              <w:top w:val="dotted" w:sz="4" w:space="0" w:color="58595B"/>
              <w:bottom w:val="dotted" w:sz="4" w:space="0" w:color="58595B"/>
            </w:tcBorders>
            <w:shd w:val="clear" w:color="auto" w:fill="auto"/>
          </w:tcPr>
          <w:p w14:paraId="33A6658A" w14:textId="58B4B19D" w:rsidR="00FB1ED2" w:rsidRDefault="00DB1D26" w:rsidP="00857E73">
            <w:pPr>
              <w:pStyle w:val="QCATableText"/>
              <w:ind w:left="-2041" w:firstLine="2127"/>
              <w:jc w:val="center"/>
            </w:pPr>
            <w:r>
              <w:t>1</w:t>
            </w:r>
          </w:p>
        </w:tc>
        <w:tc>
          <w:tcPr>
            <w:tcW w:w="1849" w:type="dxa"/>
            <w:tcBorders>
              <w:top w:val="dotted" w:sz="4" w:space="0" w:color="58595B"/>
              <w:bottom w:val="dotted" w:sz="4" w:space="0" w:color="58595B"/>
            </w:tcBorders>
            <w:shd w:val="clear" w:color="auto" w:fill="auto"/>
          </w:tcPr>
          <w:p w14:paraId="1192318F" w14:textId="270EC3C1" w:rsidR="00FB1ED2" w:rsidRDefault="00DB1D26" w:rsidP="00857E73">
            <w:pPr>
              <w:pStyle w:val="QCATableText"/>
              <w:ind w:left="-2041" w:firstLine="2127"/>
              <w:jc w:val="center"/>
            </w:pPr>
            <w:r>
              <w:t>1</w:t>
            </w:r>
          </w:p>
        </w:tc>
      </w:tr>
    </w:tbl>
    <w:p w14:paraId="734EE745" w14:textId="799D627E" w:rsidR="007B68F1" w:rsidRDefault="009C5D62" w:rsidP="00857E73">
      <w:pPr>
        <w:pStyle w:val="QCABodyText"/>
        <w:tabs>
          <w:tab w:val="left" w:pos="-2835"/>
        </w:tabs>
        <w:spacing w:after="0"/>
        <w:rPr>
          <w:rStyle w:val="SubtleEmphasis"/>
        </w:rPr>
      </w:pPr>
      <w:r w:rsidRPr="003B7F68">
        <w:rPr>
          <w:rStyle w:val="SubtleEmphasis"/>
          <w:color w:val="auto"/>
        </w:rPr>
        <w:t>*</w:t>
      </w:r>
      <w:r w:rsidR="000F0487">
        <w:rPr>
          <w:rStyle w:val="SubtleEmphasis"/>
        </w:rPr>
        <w:t xml:space="preserve"> </w:t>
      </w:r>
      <w:r w:rsidR="00132A3B" w:rsidRPr="009C5D62">
        <w:rPr>
          <w:rStyle w:val="SubtleEmphasis"/>
        </w:rPr>
        <w:t>Non</w:t>
      </w:r>
      <w:r w:rsidR="00132A3B">
        <w:rPr>
          <w:rStyle w:val="SubtleEmphasis"/>
        </w:rPr>
        <w:t>–</w:t>
      </w:r>
      <w:r w:rsidRPr="009C5D62">
        <w:rPr>
          <w:rStyle w:val="SubtleEmphasis"/>
        </w:rPr>
        <w:t xml:space="preserve">English </w:t>
      </w:r>
      <w:r w:rsidR="00132A3B">
        <w:rPr>
          <w:rStyle w:val="SubtleEmphasis"/>
        </w:rPr>
        <w:t>s</w:t>
      </w:r>
      <w:r w:rsidRPr="009C5D62">
        <w:rPr>
          <w:rStyle w:val="SubtleEmphasis"/>
        </w:rPr>
        <w:t xml:space="preserve">peaking </w:t>
      </w:r>
      <w:r w:rsidR="00132A3B">
        <w:rPr>
          <w:rStyle w:val="SubtleEmphasis"/>
        </w:rPr>
        <w:t>b</w:t>
      </w:r>
      <w:r w:rsidRPr="009C5D62">
        <w:rPr>
          <w:rStyle w:val="SubtleEmphasis"/>
        </w:rPr>
        <w:t>ackground (voluntary disclosure)</w:t>
      </w:r>
      <w:r w:rsidR="0013424C">
        <w:rPr>
          <w:rStyle w:val="SubtleEmphasis"/>
        </w:rPr>
        <w:t>.</w:t>
      </w:r>
    </w:p>
    <w:p w14:paraId="0C97437F" w14:textId="17206AF4" w:rsidR="00D46B87" w:rsidRPr="000953B4" w:rsidRDefault="00D46B87" w:rsidP="000953B4">
      <w:bookmarkStart w:id="181" w:name="_Toc487614518"/>
      <w:bookmarkStart w:id="182" w:name="_Toc520282160"/>
    </w:p>
    <w:bookmarkEnd w:id="180"/>
    <w:p w14:paraId="07447A5C" w14:textId="77777777" w:rsidR="00F648D1" w:rsidRDefault="00F648D1">
      <w:pPr>
        <w:spacing w:before="0" w:after="160" w:line="259" w:lineRule="auto"/>
        <w:rPr>
          <w:rFonts w:ascii="Calibri Light" w:eastAsiaTheme="majorEastAsia" w:hAnsi="Calibri Light" w:cstheme="majorBidi"/>
          <w:sz w:val="52"/>
          <w:szCs w:val="56"/>
        </w:rPr>
      </w:pPr>
      <w:r>
        <w:br w:type="page"/>
      </w:r>
    </w:p>
    <w:p w14:paraId="208BFE61" w14:textId="4C9B9233" w:rsidR="006A0D3A" w:rsidRDefault="000315A8" w:rsidP="00116E5A">
      <w:pPr>
        <w:pStyle w:val="Heading1"/>
        <w:pBdr>
          <w:bottom w:val="single" w:sz="4" w:space="1" w:color="auto"/>
        </w:pBdr>
        <w:spacing w:after="0"/>
        <w:ind w:left="-567" w:right="-284"/>
      </w:pPr>
      <w:bookmarkStart w:id="183" w:name="_Toc80792964"/>
      <w:r w:rsidRPr="006C5371">
        <w:lastRenderedPageBreak/>
        <w:t>Our publications</w:t>
      </w:r>
      <w:bookmarkEnd w:id="181"/>
      <w:bookmarkEnd w:id="182"/>
      <w:bookmarkEnd w:id="183"/>
    </w:p>
    <w:p w14:paraId="7A1CCCFB" w14:textId="4A25B743" w:rsidR="001133FC" w:rsidRDefault="001133FC" w:rsidP="002C3A88">
      <w:pPr>
        <w:spacing w:before="0" w:after="160" w:line="259" w:lineRule="auto"/>
        <w:ind w:left="-2835"/>
        <w:rPr>
          <w:rFonts w:asciiTheme="majorHAnsi" w:eastAsiaTheme="majorEastAsia" w:hAnsiTheme="majorHAnsi" w:cstheme="majorBidi"/>
          <w:color w:val="00A1E4"/>
          <w:sz w:val="26"/>
          <w:szCs w:val="28"/>
        </w:rPr>
      </w:pPr>
    </w:p>
    <w:p w14:paraId="3BA65B65" w14:textId="3B743BB4" w:rsidR="00C35F5E" w:rsidRDefault="009F711B" w:rsidP="00DF2DF3">
      <w:pPr>
        <w:pStyle w:val="Heading3"/>
        <w:ind w:left="-2835"/>
      </w:pPr>
      <w:r w:rsidRPr="00273B81">
        <w:t>P</w:t>
      </w:r>
      <w:r w:rsidR="003A2362" w:rsidRPr="00273B81">
        <w:t xml:space="preserve">ublications </w:t>
      </w:r>
    </w:p>
    <w:p w14:paraId="5E2D735F" w14:textId="0C4E7C64" w:rsidR="00FB4CCB" w:rsidRDefault="00C72CD4" w:rsidP="00B55CC9">
      <w:pPr>
        <w:pStyle w:val="Heading2"/>
        <w:ind w:left="-567"/>
      </w:pPr>
      <w:bookmarkStart w:id="184" w:name="_Toc48117212"/>
      <w:bookmarkStart w:id="185" w:name="_Toc48119603"/>
      <w:bookmarkStart w:id="186" w:name="_Toc78532842"/>
      <w:bookmarkStart w:id="187" w:name="_Toc80792965"/>
      <w:r>
        <w:t>Publications released and submissions received</w:t>
      </w:r>
      <w:bookmarkEnd w:id="184"/>
      <w:bookmarkEnd w:id="185"/>
      <w:bookmarkEnd w:id="186"/>
      <w:bookmarkEnd w:id="187"/>
    </w:p>
    <w:tbl>
      <w:tblPr>
        <w:tblpPr w:leftFromText="180" w:rightFromText="180" w:vertAnchor="text" w:horzAnchor="page" w:tblpX="1075" w:tblpY="104"/>
        <w:tblW w:w="9381" w:type="dxa"/>
        <w:tblCellMar>
          <w:top w:w="57" w:type="dxa"/>
          <w:bottom w:w="57" w:type="dxa"/>
        </w:tblCellMar>
        <w:tblLook w:val="06A0" w:firstRow="1" w:lastRow="0" w:firstColumn="1" w:lastColumn="0" w:noHBand="1" w:noVBand="1"/>
      </w:tblPr>
      <w:tblGrid>
        <w:gridCol w:w="4672"/>
        <w:gridCol w:w="2248"/>
        <w:gridCol w:w="2461"/>
      </w:tblGrid>
      <w:tr w:rsidR="00B445FB" w:rsidRPr="004416CF" w14:paraId="60B22B09" w14:textId="77777777" w:rsidTr="00713B9B">
        <w:trPr>
          <w:trHeight w:hRule="exact" w:val="317"/>
        </w:trPr>
        <w:tc>
          <w:tcPr>
            <w:tcW w:w="4672" w:type="dxa"/>
            <w:tcBorders>
              <w:bottom w:val="single" w:sz="4" w:space="0" w:color="auto"/>
            </w:tcBorders>
            <w:shd w:val="clear" w:color="auto" w:fill="auto"/>
          </w:tcPr>
          <w:p w14:paraId="42B12895" w14:textId="77777777" w:rsidR="00B445FB" w:rsidRDefault="00B445FB" w:rsidP="00B445FB">
            <w:pPr>
              <w:pStyle w:val="QCATableHeading"/>
              <w:ind w:firstLine="7"/>
              <w:jc w:val="center"/>
            </w:pPr>
            <w:bookmarkStart w:id="188" w:name="_Hlk47528632"/>
          </w:p>
        </w:tc>
        <w:tc>
          <w:tcPr>
            <w:tcW w:w="2248" w:type="dxa"/>
            <w:tcBorders>
              <w:bottom w:val="single" w:sz="4" w:space="0" w:color="auto"/>
            </w:tcBorders>
            <w:shd w:val="clear" w:color="auto" w:fill="auto"/>
          </w:tcPr>
          <w:p w14:paraId="216EA7F5" w14:textId="77777777" w:rsidR="00B445FB" w:rsidRDefault="00B445FB" w:rsidP="00EC3818">
            <w:pPr>
              <w:pStyle w:val="QCATableHeading"/>
              <w:ind w:firstLine="7"/>
              <w:jc w:val="center"/>
            </w:pPr>
            <w:r w:rsidRPr="004416CF">
              <w:t>Submissions</w:t>
            </w:r>
          </w:p>
        </w:tc>
        <w:tc>
          <w:tcPr>
            <w:tcW w:w="2461" w:type="dxa"/>
            <w:tcBorders>
              <w:bottom w:val="single" w:sz="4" w:space="0" w:color="auto"/>
            </w:tcBorders>
            <w:shd w:val="clear" w:color="auto" w:fill="auto"/>
          </w:tcPr>
          <w:p w14:paraId="2D2E34F3" w14:textId="77777777" w:rsidR="00B445FB" w:rsidRDefault="00B445FB" w:rsidP="00EC3818">
            <w:pPr>
              <w:pStyle w:val="QCATableHeading"/>
              <w:ind w:firstLine="7"/>
              <w:jc w:val="center"/>
            </w:pPr>
            <w:r w:rsidRPr="004416CF">
              <w:t>Publications</w:t>
            </w:r>
          </w:p>
        </w:tc>
      </w:tr>
      <w:tr w:rsidR="003026AC" w:rsidRPr="004416CF" w14:paraId="05EA0C1B" w14:textId="77777777" w:rsidTr="00DE3783">
        <w:trPr>
          <w:trHeight w:hRule="exact" w:val="317"/>
        </w:trPr>
        <w:tc>
          <w:tcPr>
            <w:tcW w:w="4672" w:type="dxa"/>
            <w:tcBorders>
              <w:top w:val="dotted" w:sz="4" w:space="0" w:color="auto"/>
              <w:bottom w:val="dotted" w:sz="4" w:space="0" w:color="auto"/>
            </w:tcBorders>
            <w:shd w:val="clear" w:color="auto" w:fill="auto"/>
          </w:tcPr>
          <w:p w14:paraId="1AA0D16E" w14:textId="548B5814" w:rsidR="003026AC" w:rsidRDefault="0060631D" w:rsidP="00724371">
            <w:pPr>
              <w:pStyle w:val="QCATableText"/>
              <w:spacing w:before="40" w:after="40"/>
              <w:ind w:right="-4863" w:firstLine="7"/>
            </w:pPr>
            <w:r w:rsidRPr="00273B81">
              <w:t>Queensland Rail 2020 draft access undertaking</w:t>
            </w:r>
          </w:p>
        </w:tc>
        <w:tc>
          <w:tcPr>
            <w:tcW w:w="2248" w:type="dxa"/>
            <w:tcBorders>
              <w:top w:val="dotted" w:sz="4" w:space="0" w:color="auto"/>
              <w:bottom w:val="dotted" w:sz="4" w:space="0" w:color="auto"/>
            </w:tcBorders>
            <w:shd w:val="clear" w:color="auto" w:fill="auto"/>
          </w:tcPr>
          <w:p w14:paraId="268F2D5F" w14:textId="7CC82C61" w:rsidR="003026AC" w:rsidRDefault="008156DC" w:rsidP="00EC3818">
            <w:pPr>
              <w:pStyle w:val="QCATableText"/>
              <w:spacing w:before="40" w:after="40"/>
              <w:ind w:firstLine="7"/>
              <w:jc w:val="center"/>
            </w:pPr>
            <w:r>
              <w:t>0</w:t>
            </w:r>
          </w:p>
        </w:tc>
        <w:tc>
          <w:tcPr>
            <w:tcW w:w="2461" w:type="dxa"/>
            <w:tcBorders>
              <w:top w:val="dotted" w:sz="4" w:space="0" w:color="auto"/>
              <w:bottom w:val="dotted" w:sz="4" w:space="0" w:color="auto"/>
            </w:tcBorders>
            <w:shd w:val="clear" w:color="auto" w:fill="auto"/>
          </w:tcPr>
          <w:p w14:paraId="5DCC6921" w14:textId="5E06A0D8" w:rsidR="003026AC" w:rsidRDefault="008156DC" w:rsidP="00EC3818">
            <w:pPr>
              <w:pStyle w:val="QCATableText"/>
              <w:spacing w:before="40" w:after="40"/>
              <w:ind w:firstLine="7"/>
              <w:jc w:val="center"/>
            </w:pPr>
            <w:r>
              <w:t>1</w:t>
            </w:r>
          </w:p>
        </w:tc>
      </w:tr>
      <w:tr w:rsidR="00456899" w:rsidRPr="004416CF" w14:paraId="565FD756" w14:textId="77777777" w:rsidTr="00DE3783">
        <w:trPr>
          <w:trHeight w:hRule="exact" w:val="317"/>
        </w:trPr>
        <w:tc>
          <w:tcPr>
            <w:tcW w:w="4672" w:type="dxa"/>
            <w:tcBorders>
              <w:top w:val="dotted" w:sz="4" w:space="0" w:color="auto"/>
              <w:bottom w:val="dotted" w:sz="4" w:space="0" w:color="auto"/>
            </w:tcBorders>
            <w:shd w:val="clear" w:color="auto" w:fill="auto"/>
          </w:tcPr>
          <w:p w14:paraId="24B25B02" w14:textId="722297AE" w:rsidR="00456899" w:rsidRDefault="0060631D" w:rsidP="003026AC">
            <w:pPr>
              <w:pStyle w:val="QCATableText"/>
              <w:spacing w:before="40" w:after="40"/>
              <w:ind w:right="-4863" w:firstLine="7"/>
            </w:pPr>
            <w:r>
              <w:t>DBCT Management’s 2019 draft access undertaking</w:t>
            </w:r>
          </w:p>
        </w:tc>
        <w:tc>
          <w:tcPr>
            <w:tcW w:w="2248" w:type="dxa"/>
            <w:tcBorders>
              <w:top w:val="dotted" w:sz="4" w:space="0" w:color="auto"/>
              <w:bottom w:val="dotted" w:sz="4" w:space="0" w:color="auto"/>
            </w:tcBorders>
            <w:shd w:val="clear" w:color="auto" w:fill="auto"/>
          </w:tcPr>
          <w:p w14:paraId="695A2095" w14:textId="6BDACC6A" w:rsidR="00456899" w:rsidRDefault="00C73E41" w:rsidP="00EC3818">
            <w:pPr>
              <w:pStyle w:val="QCATableText"/>
              <w:spacing w:before="40" w:after="40"/>
              <w:ind w:firstLine="7"/>
              <w:jc w:val="center"/>
            </w:pPr>
            <w:r>
              <w:t>8</w:t>
            </w:r>
          </w:p>
        </w:tc>
        <w:tc>
          <w:tcPr>
            <w:tcW w:w="2461" w:type="dxa"/>
            <w:tcBorders>
              <w:top w:val="dotted" w:sz="4" w:space="0" w:color="auto"/>
              <w:bottom w:val="dotted" w:sz="4" w:space="0" w:color="auto"/>
            </w:tcBorders>
            <w:shd w:val="clear" w:color="auto" w:fill="auto"/>
          </w:tcPr>
          <w:p w14:paraId="41A0F18F" w14:textId="5634382F" w:rsidR="00456899" w:rsidRDefault="008F73BB" w:rsidP="00EC3818">
            <w:pPr>
              <w:pStyle w:val="QCATableText"/>
              <w:spacing w:before="40" w:after="40"/>
              <w:ind w:firstLine="7"/>
              <w:jc w:val="center"/>
            </w:pPr>
            <w:r>
              <w:t>10</w:t>
            </w:r>
          </w:p>
        </w:tc>
      </w:tr>
      <w:tr w:rsidR="00802EBE" w:rsidRPr="004416CF" w14:paraId="076EB9CC" w14:textId="77777777" w:rsidTr="00241A24">
        <w:trPr>
          <w:trHeight w:hRule="exact" w:val="355"/>
        </w:trPr>
        <w:tc>
          <w:tcPr>
            <w:tcW w:w="4672" w:type="dxa"/>
            <w:tcBorders>
              <w:top w:val="dotted" w:sz="4" w:space="0" w:color="auto"/>
              <w:bottom w:val="dotted" w:sz="4" w:space="0" w:color="auto"/>
            </w:tcBorders>
            <w:shd w:val="clear" w:color="auto" w:fill="auto"/>
          </w:tcPr>
          <w:p w14:paraId="1176F516" w14:textId="79CC3419" w:rsidR="00802EBE" w:rsidRDefault="00802EBE" w:rsidP="008156DC">
            <w:pPr>
              <w:pStyle w:val="QCATableText"/>
              <w:spacing w:before="40" w:after="40"/>
              <w:ind w:right="-4863" w:firstLine="7"/>
            </w:pPr>
            <w:r>
              <w:t>Supplementary notified prices review 2020–21</w:t>
            </w:r>
            <w:r w:rsidR="008B5C63">
              <w:t xml:space="preserve"> </w:t>
            </w:r>
          </w:p>
        </w:tc>
        <w:tc>
          <w:tcPr>
            <w:tcW w:w="2248" w:type="dxa"/>
            <w:tcBorders>
              <w:top w:val="dotted" w:sz="4" w:space="0" w:color="auto"/>
              <w:bottom w:val="dotted" w:sz="4" w:space="0" w:color="auto"/>
            </w:tcBorders>
            <w:shd w:val="clear" w:color="auto" w:fill="auto"/>
          </w:tcPr>
          <w:p w14:paraId="1BA4FD40" w14:textId="2CE614BA" w:rsidR="00802EBE" w:rsidRDefault="00C73E41" w:rsidP="00EC3818">
            <w:pPr>
              <w:pStyle w:val="QCATableText"/>
              <w:spacing w:before="40" w:after="40"/>
              <w:ind w:firstLine="7"/>
              <w:jc w:val="center"/>
            </w:pPr>
            <w:r>
              <w:t>4</w:t>
            </w:r>
          </w:p>
        </w:tc>
        <w:tc>
          <w:tcPr>
            <w:tcW w:w="2461" w:type="dxa"/>
            <w:tcBorders>
              <w:top w:val="dotted" w:sz="4" w:space="0" w:color="auto"/>
              <w:bottom w:val="dotted" w:sz="4" w:space="0" w:color="auto"/>
            </w:tcBorders>
            <w:shd w:val="clear" w:color="auto" w:fill="auto"/>
          </w:tcPr>
          <w:p w14:paraId="239432D4" w14:textId="2C5C4083" w:rsidR="00802EBE" w:rsidRDefault="008F73BB" w:rsidP="00EC3818">
            <w:pPr>
              <w:pStyle w:val="QCATableText"/>
              <w:spacing w:before="40" w:after="40"/>
              <w:ind w:firstLine="7"/>
              <w:jc w:val="center"/>
            </w:pPr>
            <w:r>
              <w:t>8</w:t>
            </w:r>
          </w:p>
        </w:tc>
      </w:tr>
      <w:tr w:rsidR="00456899" w:rsidRPr="004416CF" w14:paraId="34DE3C25" w14:textId="77777777" w:rsidTr="00DE3783">
        <w:trPr>
          <w:trHeight w:hRule="exact" w:val="317"/>
        </w:trPr>
        <w:tc>
          <w:tcPr>
            <w:tcW w:w="4672" w:type="dxa"/>
            <w:tcBorders>
              <w:top w:val="dotted" w:sz="4" w:space="0" w:color="auto"/>
              <w:bottom w:val="dotted" w:sz="4" w:space="0" w:color="auto"/>
            </w:tcBorders>
            <w:shd w:val="clear" w:color="auto" w:fill="auto"/>
          </w:tcPr>
          <w:p w14:paraId="29BB4BB7" w14:textId="602D9F23" w:rsidR="00456899" w:rsidRDefault="008156DC" w:rsidP="00724371">
            <w:pPr>
              <w:pStyle w:val="QCATableText"/>
              <w:spacing w:before="40" w:after="40"/>
              <w:ind w:right="-4863" w:firstLine="7"/>
            </w:pPr>
            <w:r>
              <w:t>Electricity prices for regional Queensland 2021–22</w:t>
            </w:r>
          </w:p>
        </w:tc>
        <w:tc>
          <w:tcPr>
            <w:tcW w:w="2248" w:type="dxa"/>
            <w:tcBorders>
              <w:top w:val="dotted" w:sz="4" w:space="0" w:color="auto"/>
              <w:bottom w:val="dotted" w:sz="4" w:space="0" w:color="auto"/>
            </w:tcBorders>
            <w:shd w:val="clear" w:color="auto" w:fill="auto"/>
          </w:tcPr>
          <w:p w14:paraId="11547BCF" w14:textId="7EF32128" w:rsidR="00456899" w:rsidRDefault="00C73E41" w:rsidP="00EC3818">
            <w:pPr>
              <w:pStyle w:val="QCATableText"/>
              <w:spacing w:before="40" w:after="40"/>
              <w:ind w:firstLine="7"/>
              <w:jc w:val="center"/>
            </w:pPr>
            <w:r>
              <w:t>13</w:t>
            </w:r>
          </w:p>
        </w:tc>
        <w:tc>
          <w:tcPr>
            <w:tcW w:w="2461" w:type="dxa"/>
            <w:tcBorders>
              <w:top w:val="dotted" w:sz="4" w:space="0" w:color="auto"/>
              <w:bottom w:val="dotted" w:sz="4" w:space="0" w:color="auto"/>
            </w:tcBorders>
            <w:shd w:val="clear" w:color="auto" w:fill="auto"/>
          </w:tcPr>
          <w:p w14:paraId="711E5CE2" w14:textId="6C0C084A" w:rsidR="00456899" w:rsidRDefault="00373C16" w:rsidP="00EC3818">
            <w:pPr>
              <w:pStyle w:val="QCATableText"/>
              <w:spacing w:before="40" w:after="40"/>
              <w:ind w:firstLine="7"/>
              <w:jc w:val="center"/>
            </w:pPr>
            <w:r>
              <w:t>13</w:t>
            </w:r>
          </w:p>
        </w:tc>
      </w:tr>
      <w:tr w:rsidR="003F0346" w:rsidRPr="004416CF" w14:paraId="2426ED0A" w14:textId="77777777" w:rsidTr="00DE3783">
        <w:trPr>
          <w:trHeight w:hRule="exact" w:val="317"/>
        </w:trPr>
        <w:tc>
          <w:tcPr>
            <w:tcW w:w="4672" w:type="dxa"/>
            <w:tcBorders>
              <w:top w:val="dotted" w:sz="4" w:space="0" w:color="auto"/>
              <w:bottom w:val="dotted" w:sz="4" w:space="0" w:color="auto"/>
            </w:tcBorders>
            <w:shd w:val="clear" w:color="auto" w:fill="auto"/>
          </w:tcPr>
          <w:p w14:paraId="7C27B459" w14:textId="0A586C52" w:rsidR="003F0346" w:rsidRDefault="003F0346" w:rsidP="00724371">
            <w:pPr>
              <w:pStyle w:val="QCATableText"/>
              <w:spacing w:before="40" w:after="40"/>
              <w:ind w:right="-4863" w:firstLine="7"/>
            </w:pPr>
            <w:r w:rsidRPr="006B310D">
              <w:t xml:space="preserve">Review </w:t>
            </w:r>
            <w:r w:rsidR="00496E0E">
              <w:t xml:space="preserve">of </w:t>
            </w:r>
            <w:r w:rsidRPr="006B310D">
              <w:t xml:space="preserve">Schedule 8 </w:t>
            </w:r>
            <w:r w:rsidR="00496E0E">
              <w:t xml:space="preserve">of the </w:t>
            </w:r>
            <w:r w:rsidRPr="006B310D">
              <w:t>Electricity Regulation 2006</w:t>
            </w:r>
          </w:p>
        </w:tc>
        <w:tc>
          <w:tcPr>
            <w:tcW w:w="2248" w:type="dxa"/>
            <w:tcBorders>
              <w:top w:val="dotted" w:sz="4" w:space="0" w:color="auto"/>
              <w:bottom w:val="dotted" w:sz="4" w:space="0" w:color="auto"/>
            </w:tcBorders>
            <w:shd w:val="clear" w:color="auto" w:fill="auto"/>
          </w:tcPr>
          <w:p w14:paraId="1A3EAFAC" w14:textId="07F458FE" w:rsidR="003F0346" w:rsidRDefault="006B310D" w:rsidP="00EC3818">
            <w:pPr>
              <w:pStyle w:val="QCATableText"/>
              <w:spacing w:before="40" w:after="40"/>
              <w:ind w:firstLine="7"/>
              <w:jc w:val="center"/>
            </w:pPr>
            <w:r>
              <w:t>10</w:t>
            </w:r>
          </w:p>
        </w:tc>
        <w:tc>
          <w:tcPr>
            <w:tcW w:w="2461" w:type="dxa"/>
            <w:tcBorders>
              <w:top w:val="dotted" w:sz="4" w:space="0" w:color="auto"/>
              <w:bottom w:val="dotted" w:sz="4" w:space="0" w:color="auto"/>
            </w:tcBorders>
            <w:shd w:val="clear" w:color="auto" w:fill="auto"/>
          </w:tcPr>
          <w:p w14:paraId="71E61E57" w14:textId="594EA8CD" w:rsidR="003F0346" w:rsidRDefault="00F66CD4" w:rsidP="00EC3818">
            <w:pPr>
              <w:pStyle w:val="QCATableText"/>
              <w:spacing w:before="40" w:after="40"/>
              <w:ind w:firstLine="7"/>
              <w:jc w:val="center"/>
            </w:pPr>
            <w:r>
              <w:t>0</w:t>
            </w:r>
          </w:p>
        </w:tc>
      </w:tr>
      <w:tr w:rsidR="008156DC" w:rsidRPr="004416CF" w14:paraId="084FC068" w14:textId="77777777" w:rsidTr="00DE3783">
        <w:trPr>
          <w:trHeight w:hRule="exact" w:val="317"/>
        </w:trPr>
        <w:tc>
          <w:tcPr>
            <w:tcW w:w="4672" w:type="dxa"/>
            <w:tcBorders>
              <w:top w:val="dotted" w:sz="4" w:space="0" w:color="auto"/>
              <w:bottom w:val="dotted" w:sz="4" w:space="0" w:color="auto"/>
            </w:tcBorders>
            <w:shd w:val="clear" w:color="auto" w:fill="auto"/>
          </w:tcPr>
          <w:p w14:paraId="3D838D07" w14:textId="279A8FB8" w:rsidR="008156DC" w:rsidDel="008156DC" w:rsidRDefault="008156DC" w:rsidP="00724371">
            <w:pPr>
              <w:pStyle w:val="QCATableText"/>
              <w:spacing w:before="40" w:after="40"/>
              <w:ind w:right="-4863" w:firstLine="7"/>
            </w:pPr>
            <w:r w:rsidRPr="00241A24">
              <w:t>Seqwater bulk water prices 2022–26</w:t>
            </w:r>
          </w:p>
        </w:tc>
        <w:tc>
          <w:tcPr>
            <w:tcW w:w="2248" w:type="dxa"/>
            <w:tcBorders>
              <w:top w:val="dotted" w:sz="4" w:space="0" w:color="auto"/>
              <w:bottom w:val="dotted" w:sz="4" w:space="0" w:color="auto"/>
            </w:tcBorders>
            <w:shd w:val="clear" w:color="auto" w:fill="auto"/>
          </w:tcPr>
          <w:p w14:paraId="7AC60DD8" w14:textId="4A4D9B03" w:rsidR="008156DC" w:rsidDel="00C37EC9" w:rsidRDefault="00C61A13" w:rsidP="00EC3818">
            <w:pPr>
              <w:pStyle w:val="QCATableText"/>
              <w:spacing w:before="40" w:after="40"/>
              <w:ind w:firstLine="7"/>
              <w:jc w:val="center"/>
            </w:pPr>
            <w:r>
              <w:t>1</w:t>
            </w:r>
          </w:p>
        </w:tc>
        <w:tc>
          <w:tcPr>
            <w:tcW w:w="2461" w:type="dxa"/>
            <w:tcBorders>
              <w:top w:val="dotted" w:sz="4" w:space="0" w:color="auto"/>
              <w:bottom w:val="dotted" w:sz="4" w:space="0" w:color="auto"/>
            </w:tcBorders>
            <w:shd w:val="clear" w:color="auto" w:fill="auto"/>
          </w:tcPr>
          <w:p w14:paraId="1B0E228A" w14:textId="4D75D1A5" w:rsidR="008156DC" w:rsidDel="00C37EC9" w:rsidRDefault="00F66CD4" w:rsidP="00EC3818">
            <w:pPr>
              <w:pStyle w:val="QCATableText"/>
              <w:spacing w:before="40" w:after="40"/>
              <w:ind w:firstLine="7"/>
              <w:jc w:val="center"/>
            </w:pPr>
            <w:r>
              <w:t>2</w:t>
            </w:r>
          </w:p>
        </w:tc>
      </w:tr>
      <w:tr w:rsidR="008156DC" w:rsidRPr="004416CF" w14:paraId="4D5CC2D4" w14:textId="77777777" w:rsidTr="00DE3783">
        <w:trPr>
          <w:trHeight w:hRule="exact" w:val="317"/>
        </w:trPr>
        <w:tc>
          <w:tcPr>
            <w:tcW w:w="4672" w:type="dxa"/>
            <w:tcBorders>
              <w:top w:val="dotted" w:sz="4" w:space="0" w:color="auto"/>
              <w:bottom w:val="dotted" w:sz="4" w:space="0" w:color="auto"/>
            </w:tcBorders>
            <w:shd w:val="clear" w:color="auto" w:fill="auto"/>
          </w:tcPr>
          <w:p w14:paraId="2ABB0441" w14:textId="3C38FFBA" w:rsidR="008156DC" w:rsidRDefault="008156DC" w:rsidP="00724371">
            <w:pPr>
              <w:pStyle w:val="QCATableText"/>
              <w:spacing w:before="40" w:after="40"/>
              <w:ind w:right="-4863" w:firstLine="7"/>
            </w:pPr>
            <w:r w:rsidRPr="00241A24">
              <w:t>Regulatory pricing principles for the water sector</w:t>
            </w:r>
          </w:p>
        </w:tc>
        <w:tc>
          <w:tcPr>
            <w:tcW w:w="2248" w:type="dxa"/>
            <w:tcBorders>
              <w:top w:val="dotted" w:sz="4" w:space="0" w:color="auto"/>
              <w:bottom w:val="dotted" w:sz="4" w:space="0" w:color="auto"/>
            </w:tcBorders>
            <w:shd w:val="clear" w:color="auto" w:fill="auto"/>
          </w:tcPr>
          <w:p w14:paraId="639EEEC1" w14:textId="5736166A" w:rsidR="008156DC" w:rsidDel="00C37EC9" w:rsidRDefault="00C61A13" w:rsidP="00EC3818">
            <w:pPr>
              <w:pStyle w:val="QCATableText"/>
              <w:spacing w:before="40" w:after="40"/>
              <w:ind w:firstLine="7"/>
              <w:jc w:val="center"/>
            </w:pPr>
            <w:r>
              <w:t>15</w:t>
            </w:r>
          </w:p>
        </w:tc>
        <w:tc>
          <w:tcPr>
            <w:tcW w:w="2461" w:type="dxa"/>
            <w:tcBorders>
              <w:top w:val="dotted" w:sz="4" w:space="0" w:color="auto"/>
              <w:bottom w:val="dotted" w:sz="4" w:space="0" w:color="auto"/>
            </w:tcBorders>
            <w:shd w:val="clear" w:color="auto" w:fill="auto"/>
          </w:tcPr>
          <w:p w14:paraId="633A4458" w14:textId="6A23A878" w:rsidR="008156DC" w:rsidDel="00C37EC9" w:rsidRDefault="008F73BB" w:rsidP="00EC3818">
            <w:pPr>
              <w:pStyle w:val="QCATableText"/>
              <w:spacing w:before="40" w:after="40"/>
              <w:ind w:firstLine="7"/>
              <w:jc w:val="center"/>
            </w:pPr>
            <w:r>
              <w:t>2</w:t>
            </w:r>
          </w:p>
        </w:tc>
      </w:tr>
      <w:tr w:rsidR="008156DC" w:rsidRPr="004416CF" w14:paraId="25E469A7" w14:textId="77777777" w:rsidTr="00DE3783">
        <w:trPr>
          <w:trHeight w:hRule="exact" w:val="317"/>
        </w:trPr>
        <w:tc>
          <w:tcPr>
            <w:tcW w:w="4672" w:type="dxa"/>
            <w:tcBorders>
              <w:top w:val="dotted" w:sz="4" w:space="0" w:color="auto"/>
              <w:bottom w:val="dotted" w:sz="4" w:space="0" w:color="auto"/>
            </w:tcBorders>
            <w:shd w:val="clear" w:color="auto" w:fill="auto"/>
          </w:tcPr>
          <w:p w14:paraId="48016000" w14:textId="40A7155A" w:rsidR="008156DC" w:rsidRDefault="008156DC" w:rsidP="00724371">
            <w:pPr>
              <w:pStyle w:val="QCATableText"/>
              <w:spacing w:before="40" w:after="40"/>
              <w:ind w:right="-4863" w:firstLine="7"/>
            </w:pPr>
            <w:r w:rsidRPr="00241A24">
              <w:t>Rate of return review 2021</w:t>
            </w:r>
          </w:p>
        </w:tc>
        <w:tc>
          <w:tcPr>
            <w:tcW w:w="2248" w:type="dxa"/>
            <w:tcBorders>
              <w:top w:val="dotted" w:sz="4" w:space="0" w:color="auto"/>
              <w:bottom w:val="dotted" w:sz="4" w:space="0" w:color="auto"/>
            </w:tcBorders>
            <w:shd w:val="clear" w:color="auto" w:fill="auto"/>
          </w:tcPr>
          <w:p w14:paraId="77CCC4ED" w14:textId="0C7D9F1C" w:rsidR="008156DC" w:rsidDel="00C37EC9" w:rsidRDefault="00C61A13" w:rsidP="00EC3818">
            <w:pPr>
              <w:pStyle w:val="QCATableText"/>
              <w:spacing w:before="40" w:after="40"/>
              <w:ind w:firstLine="7"/>
              <w:jc w:val="center"/>
            </w:pPr>
            <w:r>
              <w:t>16</w:t>
            </w:r>
          </w:p>
        </w:tc>
        <w:tc>
          <w:tcPr>
            <w:tcW w:w="2461" w:type="dxa"/>
            <w:tcBorders>
              <w:top w:val="dotted" w:sz="4" w:space="0" w:color="auto"/>
              <w:bottom w:val="dotted" w:sz="4" w:space="0" w:color="auto"/>
            </w:tcBorders>
            <w:shd w:val="clear" w:color="auto" w:fill="auto"/>
          </w:tcPr>
          <w:p w14:paraId="05ABABA4" w14:textId="051BF91A" w:rsidR="008156DC" w:rsidDel="00C37EC9" w:rsidRDefault="008F73BB" w:rsidP="00EC3818">
            <w:pPr>
              <w:pStyle w:val="QCATableText"/>
              <w:spacing w:before="40" w:after="40"/>
              <w:ind w:firstLine="7"/>
              <w:jc w:val="center"/>
            </w:pPr>
            <w:r>
              <w:t>2</w:t>
            </w:r>
          </w:p>
        </w:tc>
      </w:tr>
      <w:tr w:rsidR="008156DC" w:rsidRPr="004416CF" w14:paraId="1B40A040" w14:textId="77777777" w:rsidTr="00DE3783">
        <w:trPr>
          <w:trHeight w:hRule="exact" w:val="317"/>
        </w:trPr>
        <w:tc>
          <w:tcPr>
            <w:tcW w:w="4672" w:type="dxa"/>
            <w:tcBorders>
              <w:top w:val="dotted" w:sz="4" w:space="0" w:color="auto"/>
              <w:bottom w:val="dotted" w:sz="4" w:space="0" w:color="auto"/>
            </w:tcBorders>
            <w:shd w:val="clear" w:color="auto" w:fill="auto"/>
          </w:tcPr>
          <w:p w14:paraId="69545210" w14:textId="6B8AD5EA" w:rsidR="008156DC" w:rsidRDefault="008156DC" w:rsidP="00724371">
            <w:pPr>
              <w:pStyle w:val="QCATableText"/>
              <w:spacing w:before="40" w:after="40"/>
              <w:ind w:right="-4863" w:firstLine="7"/>
            </w:pPr>
            <w:r>
              <w:t>Guide to declaration</w:t>
            </w:r>
          </w:p>
        </w:tc>
        <w:tc>
          <w:tcPr>
            <w:tcW w:w="2248" w:type="dxa"/>
            <w:tcBorders>
              <w:top w:val="dotted" w:sz="4" w:space="0" w:color="auto"/>
              <w:bottom w:val="dotted" w:sz="4" w:space="0" w:color="auto"/>
            </w:tcBorders>
            <w:shd w:val="clear" w:color="auto" w:fill="auto"/>
          </w:tcPr>
          <w:p w14:paraId="62DD2BBE" w14:textId="4C7A05AD" w:rsidR="008156DC" w:rsidDel="00C37EC9" w:rsidRDefault="00C73E41" w:rsidP="00EC3818">
            <w:pPr>
              <w:pStyle w:val="QCATableText"/>
              <w:spacing w:before="40" w:after="40"/>
              <w:ind w:firstLine="7"/>
              <w:jc w:val="center"/>
            </w:pPr>
            <w:r>
              <w:t>0</w:t>
            </w:r>
          </w:p>
        </w:tc>
        <w:tc>
          <w:tcPr>
            <w:tcW w:w="2461" w:type="dxa"/>
            <w:tcBorders>
              <w:top w:val="dotted" w:sz="4" w:space="0" w:color="auto"/>
              <w:bottom w:val="dotted" w:sz="4" w:space="0" w:color="auto"/>
            </w:tcBorders>
            <w:shd w:val="clear" w:color="auto" w:fill="auto"/>
          </w:tcPr>
          <w:p w14:paraId="59E4027F" w14:textId="4F9FFD56" w:rsidR="008156DC" w:rsidDel="00C37EC9" w:rsidRDefault="00C73E41" w:rsidP="00EC3818">
            <w:pPr>
              <w:pStyle w:val="QCATableText"/>
              <w:spacing w:before="40" w:after="40"/>
              <w:ind w:firstLine="7"/>
              <w:jc w:val="center"/>
            </w:pPr>
            <w:r>
              <w:t>2</w:t>
            </w:r>
          </w:p>
        </w:tc>
      </w:tr>
      <w:tr w:rsidR="008156DC" w:rsidRPr="004416CF" w14:paraId="0831B075" w14:textId="77777777" w:rsidTr="00DE3783">
        <w:trPr>
          <w:trHeight w:hRule="exact" w:val="317"/>
        </w:trPr>
        <w:tc>
          <w:tcPr>
            <w:tcW w:w="4672" w:type="dxa"/>
            <w:tcBorders>
              <w:top w:val="dotted" w:sz="4" w:space="0" w:color="auto"/>
              <w:bottom w:val="dotted" w:sz="4" w:space="0" w:color="auto"/>
            </w:tcBorders>
            <w:shd w:val="clear" w:color="auto" w:fill="auto"/>
          </w:tcPr>
          <w:p w14:paraId="7EAAF796" w14:textId="03A15EED" w:rsidR="008156DC" w:rsidRDefault="008156DC" w:rsidP="00724371">
            <w:pPr>
              <w:pStyle w:val="QCATableText"/>
              <w:spacing w:before="40" w:after="40"/>
              <w:ind w:right="-4863" w:firstLine="7"/>
            </w:pPr>
            <w:r w:rsidRPr="00241A24">
              <w:t>Inflation forecasting review 2021</w:t>
            </w:r>
          </w:p>
        </w:tc>
        <w:tc>
          <w:tcPr>
            <w:tcW w:w="2248" w:type="dxa"/>
            <w:tcBorders>
              <w:top w:val="dotted" w:sz="4" w:space="0" w:color="auto"/>
              <w:bottom w:val="dotted" w:sz="4" w:space="0" w:color="auto"/>
            </w:tcBorders>
            <w:shd w:val="clear" w:color="auto" w:fill="auto"/>
          </w:tcPr>
          <w:p w14:paraId="7FE93517" w14:textId="1E409184" w:rsidR="008156DC" w:rsidDel="00C37EC9" w:rsidRDefault="00C61A13" w:rsidP="00EC3818">
            <w:pPr>
              <w:pStyle w:val="QCATableText"/>
              <w:spacing w:before="40" w:after="40"/>
              <w:ind w:firstLine="7"/>
              <w:jc w:val="center"/>
            </w:pPr>
            <w:r>
              <w:t>7</w:t>
            </w:r>
          </w:p>
        </w:tc>
        <w:tc>
          <w:tcPr>
            <w:tcW w:w="2461" w:type="dxa"/>
            <w:tcBorders>
              <w:top w:val="dotted" w:sz="4" w:space="0" w:color="auto"/>
              <w:bottom w:val="dotted" w:sz="4" w:space="0" w:color="auto"/>
            </w:tcBorders>
            <w:shd w:val="clear" w:color="auto" w:fill="auto"/>
          </w:tcPr>
          <w:p w14:paraId="30A6C072" w14:textId="3BF8770A" w:rsidR="008156DC" w:rsidDel="00C37EC9" w:rsidRDefault="00F66CD4" w:rsidP="00EC3818">
            <w:pPr>
              <w:pStyle w:val="QCATableText"/>
              <w:spacing w:before="40" w:after="40"/>
              <w:ind w:firstLine="7"/>
              <w:jc w:val="center"/>
            </w:pPr>
            <w:r>
              <w:t>1</w:t>
            </w:r>
          </w:p>
        </w:tc>
      </w:tr>
      <w:tr w:rsidR="00B445FB" w:rsidRPr="004416CF" w14:paraId="58DAE604" w14:textId="77777777" w:rsidTr="00A21419">
        <w:trPr>
          <w:trHeight w:hRule="exact" w:val="317"/>
        </w:trPr>
        <w:tc>
          <w:tcPr>
            <w:tcW w:w="4672" w:type="dxa"/>
            <w:tcBorders>
              <w:top w:val="dotted" w:sz="4" w:space="0" w:color="58595B"/>
              <w:bottom w:val="dotted" w:sz="4" w:space="0" w:color="58595B"/>
            </w:tcBorders>
            <w:shd w:val="clear" w:color="auto" w:fill="auto"/>
          </w:tcPr>
          <w:p w14:paraId="6D2507D4" w14:textId="0C7DF850" w:rsidR="00B445FB" w:rsidRDefault="00B445FB" w:rsidP="000D74C3">
            <w:pPr>
              <w:pStyle w:val="QCATableText"/>
              <w:spacing w:before="40" w:after="40"/>
              <w:ind w:firstLine="7"/>
            </w:pPr>
            <w:r>
              <w:t>General compliance</w:t>
            </w:r>
            <w:r w:rsidR="000D74C3">
              <w:t>—</w:t>
            </w:r>
            <w:r w:rsidR="00082E96">
              <w:t>Aurizon Network</w:t>
            </w:r>
          </w:p>
        </w:tc>
        <w:tc>
          <w:tcPr>
            <w:tcW w:w="2248" w:type="dxa"/>
            <w:tcBorders>
              <w:top w:val="dotted" w:sz="4" w:space="0" w:color="58595B"/>
              <w:bottom w:val="dotted" w:sz="4" w:space="0" w:color="58595B"/>
            </w:tcBorders>
            <w:shd w:val="clear" w:color="auto" w:fill="auto"/>
          </w:tcPr>
          <w:p w14:paraId="40AA3C23" w14:textId="40DCD5FC" w:rsidR="00B445FB" w:rsidRDefault="00C73E41" w:rsidP="00EC3818">
            <w:pPr>
              <w:pStyle w:val="QCATableText"/>
              <w:spacing w:before="40" w:after="40"/>
              <w:ind w:firstLine="7"/>
              <w:jc w:val="center"/>
            </w:pPr>
            <w:r>
              <w:t>37</w:t>
            </w:r>
          </w:p>
        </w:tc>
        <w:tc>
          <w:tcPr>
            <w:tcW w:w="2461" w:type="dxa"/>
            <w:tcBorders>
              <w:top w:val="dotted" w:sz="4" w:space="0" w:color="58595B"/>
              <w:bottom w:val="dotted" w:sz="4" w:space="0" w:color="58595B"/>
            </w:tcBorders>
            <w:shd w:val="clear" w:color="auto" w:fill="auto"/>
          </w:tcPr>
          <w:p w14:paraId="5DD1E8C0" w14:textId="287B2DC9" w:rsidR="00B445FB" w:rsidRDefault="0061747B" w:rsidP="00EC3818">
            <w:pPr>
              <w:pStyle w:val="QCATableText"/>
              <w:spacing w:before="40" w:after="40"/>
              <w:ind w:firstLine="7"/>
              <w:jc w:val="center"/>
            </w:pPr>
            <w:r>
              <w:t>17</w:t>
            </w:r>
          </w:p>
        </w:tc>
      </w:tr>
      <w:tr w:rsidR="00082E96" w:rsidRPr="004416CF" w14:paraId="11E41F52" w14:textId="77777777" w:rsidTr="00A21419">
        <w:trPr>
          <w:trHeight w:hRule="exact" w:val="317"/>
        </w:trPr>
        <w:tc>
          <w:tcPr>
            <w:tcW w:w="4672" w:type="dxa"/>
            <w:tcBorders>
              <w:top w:val="dotted" w:sz="4" w:space="0" w:color="58595B"/>
              <w:bottom w:val="dotted" w:sz="4" w:space="0" w:color="58595B"/>
            </w:tcBorders>
            <w:shd w:val="clear" w:color="auto" w:fill="auto"/>
          </w:tcPr>
          <w:p w14:paraId="0F90D31C" w14:textId="0CB9AC8D" w:rsidR="00082E96" w:rsidRDefault="00082E96" w:rsidP="000D74C3">
            <w:pPr>
              <w:pStyle w:val="QCATableText"/>
              <w:spacing w:before="40" w:after="40"/>
              <w:ind w:firstLine="7"/>
            </w:pPr>
            <w:r w:rsidRPr="000E7574">
              <w:t>General compliance</w:t>
            </w:r>
            <w:r w:rsidR="000D74C3" w:rsidRPr="000E7574">
              <w:t>—</w:t>
            </w:r>
            <w:r w:rsidRPr="000E7574">
              <w:t>Queensland Rail</w:t>
            </w:r>
          </w:p>
        </w:tc>
        <w:tc>
          <w:tcPr>
            <w:tcW w:w="2248" w:type="dxa"/>
            <w:tcBorders>
              <w:top w:val="dotted" w:sz="4" w:space="0" w:color="58595B"/>
              <w:bottom w:val="dotted" w:sz="4" w:space="0" w:color="58595B"/>
            </w:tcBorders>
            <w:shd w:val="clear" w:color="auto" w:fill="auto"/>
          </w:tcPr>
          <w:p w14:paraId="41FF8C93" w14:textId="175D1BAC" w:rsidR="00082E96" w:rsidRDefault="00C73E41" w:rsidP="00EC3818">
            <w:pPr>
              <w:pStyle w:val="QCATableText"/>
              <w:spacing w:before="40" w:after="40"/>
              <w:ind w:firstLine="7"/>
              <w:jc w:val="center"/>
            </w:pPr>
            <w:r>
              <w:t>2</w:t>
            </w:r>
          </w:p>
        </w:tc>
        <w:tc>
          <w:tcPr>
            <w:tcW w:w="2461" w:type="dxa"/>
            <w:tcBorders>
              <w:top w:val="dotted" w:sz="4" w:space="0" w:color="58595B"/>
              <w:bottom w:val="dotted" w:sz="4" w:space="0" w:color="58595B"/>
            </w:tcBorders>
            <w:shd w:val="clear" w:color="auto" w:fill="auto"/>
          </w:tcPr>
          <w:p w14:paraId="03C0AE1C" w14:textId="3B35477F" w:rsidR="00082E96" w:rsidRDefault="0061747B" w:rsidP="00EC3818">
            <w:pPr>
              <w:pStyle w:val="QCATableText"/>
              <w:spacing w:before="40" w:after="40"/>
              <w:ind w:firstLine="7"/>
              <w:jc w:val="center"/>
            </w:pPr>
            <w:r>
              <w:t>2</w:t>
            </w:r>
          </w:p>
        </w:tc>
      </w:tr>
      <w:tr w:rsidR="00082E96" w:rsidRPr="004416CF" w14:paraId="04EE0DA2" w14:textId="77777777" w:rsidTr="00A21419">
        <w:trPr>
          <w:trHeight w:hRule="exact" w:val="317"/>
        </w:trPr>
        <w:tc>
          <w:tcPr>
            <w:tcW w:w="4672" w:type="dxa"/>
            <w:tcBorders>
              <w:top w:val="dotted" w:sz="4" w:space="0" w:color="58595B"/>
              <w:bottom w:val="dotted" w:sz="4" w:space="0" w:color="58595B"/>
            </w:tcBorders>
            <w:shd w:val="clear" w:color="auto" w:fill="auto"/>
          </w:tcPr>
          <w:p w14:paraId="43D483A1" w14:textId="6D14284F" w:rsidR="00082E96" w:rsidRDefault="00082E96" w:rsidP="000D74C3">
            <w:pPr>
              <w:pStyle w:val="QCATableText"/>
              <w:spacing w:before="40" w:after="40"/>
              <w:ind w:firstLine="7"/>
            </w:pPr>
            <w:r w:rsidRPr="000E7574">
              <w:t>General compliance</w:t>
            </w:r>
            <w:r w:rsidR="000D74C3" w:rsidRPr="000E7574">
              <w:t>—</w:t>
            </w:r>
            <w:r w:rsidR="00CF2258">
              <w:t>DBIM</w:t>
            </w:r>
            <w:r w:rsidR="00D44613" w:rsidRPr="000E7574">
              <w:t xml:space="preserve"> </w:t>
            </w:r>
          </w:p>
        </w:tc>
        <w:tc>
          <w:tcPr>
            <w:tcW w:w="2248" w:type="dxa"/>
            <w:tcBorders>
              <w:top w:val="dotted" w:sz="4" w:space="0" w:color="58595B"/>
              <w:bottom w:val="dotted" w:sz="4" w:space="0" w:color="58595B"/>
            </w:tcBorders>
            <w:shd w:val="clear" w:color="auto" w:fill="auto"/>
          </w:tcPr>
          <w:p w14:paraId="4ACA7FA5" w14:textId="6492D013" w:rsidR="00082E96" w:rsidRDefault="00C73E41" w:rsidP="00EC3818">
            <w:pPr>
              <w:pStyle w:val="QCATableText"/>
              <w:spacing w:before="40" w:after="40"/>
              <w:ind w:firstLine="7"/>
              <w:jc w:val="center"/>
            </w:pPr>
            <w:r>
              <w:t>22</w:t>
            </w:r>
          </w:p>
        </w:tc>
        <w:tc>
          <w:tcPr>
            <w:tcW w:w="2461" w:type="dxa"/>
            <w:tcBorders>
              <w:top w:val="dotted" w:sz="4" w:space="0" w:color="58595B"/>
              <w:bottom w:val="dotted" w:sz="4" w:space="0" w:color="58595B"/>
            </w:tcBorders>
            <w:shd w:val="clear" w:color="auto" w:fill="auto"/>
          </w:tcPr>
          <w:p w14:paraId="031E4477" w14:textId="77777777" w:rsidR="006222F1" w:rsidRDefault="0061747B" w:rsidP="00EC3818">
            <w:pPr>
              <w:pStyle w:val="QCATableText"/>
              <w:spacing w:before="40" w:after="40"/>
              <w:ind w:firstLine="7"/>
              <w:jc w:val="center"/>
            </w:pPr>
            <w:r>
              <w:t>5</w:t>
            </w:r>
          </w:p>
          <w:p w14:paraId="558FB3B5" w14:textId="24E86959" w:rsidR="0061747B" w:rsidRDefault="0061747B" w:rsidP="00EC3818">
            <w:pPr>
              <w:pStyle w:val="QCATableText"/>
              <w:spacing w:before="40" w:after="40"/>
              <w:ind w:firstLine="7"/>
              <w:jc w:val="center"/>
            </w:pPr>
          </w:p>
        </w:tc>
      </w:tr>
      <w:tr w:rsidR="000D74C3" w:rsidRPr="004416CF" w14:paraId="12285A51" w14:textId="77777777" w:rsidTr="00A21419">
        <w:trPr>
          <w:trHeight w:hRule="exact" w:val="317"/>
        </w:trPr>
        <w:tc>
          <w:tcPr>
            <w:tcW w:w="4672" w:type="dxa"/>
            <w:tcBorders>
              <w:top w:val="dotted" w:sz="4" w:space="0" w:color="58595B"/>
              <w:bottom w:val="dotted" w:sz="4" w:space="0" w:color="58595B"/>
            </w:tcBorders>
            <w:shd w:val="clear" w:color="auto" w:fill="auto"/>
          </w:tcPr>
          <w:p w14:paraId="17574075" w14:textId="3985F670" w:rsidR="000D74C3" w:rsidRDefault="000D74C3" w:rsidP="0046312F">
            <w:pPr>
              <w:pStyle w:val="QCATableText"/>
              <w:spacing w:before="40" w:after="40"/>
              <w:ind w:firstLine="7"/>
            </w:pPr>
            <w:r>
              <w:t>General compliance—Electricity</w:t>
            </w:r>
          </w:p>
        </w:tc>
        <w:tc>
          <w:tcPr>
            <w:tcW w:w="2248" w:type="dxa"/>
            <w:tcBorders>
              <w:top w:val="dotted" w:sz="4" w:space="0" w:color="58595B"/>
              <w:bottom w:val="dotted" w:sz="4" w:space="0" w:color="58595B"/>
            </w:tcBorders>
            <w:shd w:val="clear" w:color="auto" w:fill="auto"/>
          </w:tcPr>
          <w:p w14:paraId="095086B3" w14:textId="6121A890" w:rsidR="000D74C3" w:rsidRDefault="00C73E41" w:rsidP="00EC3818">
            <w:pPr>
              <w:pStyle w:val="QCATableText"/>
              <w:spacing w:before="40" w:after="40"/>
              <w:ind w:firstLine="7"/>
              <w:jc w:val="center"/>
            </w:pPr>
            <w:r>
              <w:t>0</w:t>
            </w:r>
          </w:p>
        </w:tc>
        <w:tc>
          <w:tcPr>
            <w:tcW w:w="2461" w:type="dxa"/>
            <w:tcBorders>
              <w:top w:val="dotted" w:sz="4" w:space="0" w:color="58595B"/>
              <w:bottom w:val="dotted" w:sz="4" w:space="0" w:color="58595B"/>
            </w:tcBorders>
            <w:shd w:val="clear" w:color="auto" w:fill="auto"/>
          </w:tcPr>
          <w:p w14:paraId="714C2B5C" w14:textId="2521CE9A" w:rsidR="000D74C3" w:rsidRDefault="00F62C2A" w:rsidP="00EC3818">
            <w:pPr>
              <w:pStyle w:val="QCATableText"/>
              <w:spacing w:before="40" w:after="40"/>
              <w:ind w:firstLine="7"/>
              <w:jc w:val="center"/>
            </w:pPr>
            <w:r>
              <w:t>22</w:t>
            </w:r>
          </w:p>
        </w:tc>
      </w:tr>
      <w:tr w:rsidR="00B445FB" w:rsidRPr="004416CF" w14:paraId="52F9F1BF" w14:textId="77777777" w:rsidTr="00731D6C">
        <w:trPr>
          <w:trHeight w:hRule="exact" w:val="317"/>
        </w:trPr>
        <w:tc>
          <w:tcPr>
            <w:tcW w:w="4672" w:type="dxa"/>
            <w:tcBorders>
              <w:top w:val="dotted" w:sz="4" w:space="0" w:color="58595B"/>
              <w:bottom w:val="single" w:sz="4" w:space="0" w:color="auto"/>
            </w:tcBorders>
            <w:shd w:val="clear" w:color="auto" w:fill="auto"/>
          </w:tcPr>
          <w:p w14:paraId="5D384B6C" w14:textId="4EE9BB7D" w:rsidR="00B445FB" w:rsidRDefault="00AB366D" w:rsidP="00B445FB">
            <w:pPr>
              <w:pStyle w:val="QCATableText"/>
              <w:spacing w:before="40" w:after="40"/>
              <w:ind w:firstLine="7"/>
            </w:pPr>
            <w:r>
              <w:t xml:space="preserve">Corporate </w:t>
            </w:r>
          </w:p>
        </w:tc>
        <w:tc>
          <w:tcPr>
            <w:tcW w:w="2248" w:type="dxa"/>
            <w:tcBorders>
              <w:top w:val="dotted" w:sz="4" w:space="0" w:color="58595B"/>
              <w:bottom w:val="single" w:sz="4" w:space="0" w:color="auto"/>
            </w:tcBorders>
            <w:shd w:val="clear" w:color="auto" w:fill="auto"/>
          </w:tcPr>
          <w:p w14:paraId="53B24FA4" w14:textId="504BFD44" w:rsidR="00B445FB" w:rsidRDefault="00C73E41" w:rsidP="00EC3818">
            <w:pPr>
              <w:pStyle w:val="QCATableText"/>
              <w:spacing w:before="40" w:after="40"/>
              <w:ind w:firstLine="7"/>
              <w:jc w:val="center"/>
            </w:pPr>
            <w:r>
              <w:t>0</w:t>
            </w:r>
          </w:p>
        </w:tc>
        <w:tc>
          <w:tcPr>
            <w:tcW w:w="2461" w:type="dxa"/>
            <w:tcBorders>
              <w:top w:val="dotted" w:sz="4" w:space="0" w:color="58595B"/>
              <w:bottom w:val="single" w:sz="4" w:space="0" w:color="auto"/>
            </w:tcBorders>
            <w:shd w:val="clear" w:color="auto" w:fill="auto"/>
          </w:tcPr>
          <w:p w14:paraId="7AA62582" w14:textId="48B4B576" w:rsidR="00B445FB" w:rsidRDefault="008156DC" w:rsidP="00EC3818">
            <w:pPr>
              <w:pStyle w:val="QCATableText"/>
              <w:spacing w:before="40" w:after="40"/>
              <w:ind w:firstLine="7"/>
              <w:jc w:val="center"/>
            </w:pPr>
            <w:r>
              <w:t>1</w:t>
            </w:r>
          </w:p>
        </w:tc>
      </w:tr>
      <w:tr w:rsidR="00B445FB" w:rsidRPr="00DC09B8" w14:paraId="5E72F21B" w14:textId="77777777" w:rsidTr="00731D6C">
        <w:trPr>
          <w:trHeight w:hRule="exact" w:val="317"/>
        </w:trPr>
        <w:tc>
          <w:tcPr>
            <w:tcW w:w="4672" w:type="dxa"/>
            <w:tcBorders>
              <w:top w:val="single" w:sz="4" w:space="0" w:color="auto"/>
              <w:bottom w:val="single" w:sz="4" w:space="0" w:color="auto"/>
            </w:tcBorders>
            <w:shd w:val="clear" w:color="auto" w:fill="C0C0C0"/>
          </w:tcPr>
          <w:p w14:paraId="59BC2099" w14:textId="77777777" w:rsidR="00B445FB" w:rsidRPr="00DC09B8" w:rsidRDefault="00B445FB" w:rsidP="00B445FB">
            <w:pPr>
              <w:pStyle w:val="QCATableText"/>
              <w:spacing w:before="40" w:after="40"/>
              <w:ind w:firstLine="7"/>
              <w:rPr>
                <w:rStyle w:val="QCABlue"/>
                <w:b/>
                <w:color w:val="3B3838" w:themeColor="background2" w:themeShade="40"/>
              </w:rPr>
            </w:pPr>
            <w:r w:rsidRPr="00CD2F94">
              <w:rPr>
                <w:rStyle w:val="QCABlue"/>
                <w:b/>
                <w:color w:val="3B3838" w:themeColor="background2" w:themeShade="40"/>
              </w:rPr>
              <w:t>Total</w:t>
            </w:r>
          </w:p>
        </w:tc>
        <w:tc>
          <w:tcPr>
            <w:tcW w:w="2248" w:type="dxa"/>
            <w:tcBorders>
              <w:top w:val="single" w:sz="4" w:space="0" w:color="auto"/>
              <w:bottom w:val="single" w:sz="4" w:space="0" w:color="auto"/>
            </w:tcBorders>
            <w:shd w:val="clear" w:color="auto" w:fill="C0C0C0"/>
          </w:tcPr>
          <w:p w14:paraId="213B8339" w14:textId="61A22180" w:rsidR="00B445FB" w:rsidRPr="00DC09B8" w:rsidRDefault="006B310D" w:rsidP="00EC3818">
            <w:pPr>
              <w:pStyle w:val="QCATableText"/>
              <w:spacing w:before="40" w:after="40"/>
              <w:ind w:firstLine="7"/>
              <w:jc w:val="center"/>
              <w:rPr>
                <w:rStyle w:val="QCABold"/>
              </w:rPr>
            </w:pPr>
            <w:r>
              <w:rPr>
                <w:rStyle w:val="QCABold"/>
              </w:rPr>
              <w:t>135</w:t>
            </w:r>
          </w:p>
        </w:tc>
        <w:tc>
          <w:tcPr>
            <w:tcW w:w="2461" w:type="dxa"/>
            <w:tcBorders>
              <w:top w:val="single" w:sz="4" w:space="0" w:color="auto"/>
              <w:bottom w:val="single" w:sz="4" w:space="0" w:color="auto"/>
            </w:tcBorders>
            <w:shd w:val="clear" w:color="auto" w:fill="C0C0C0"/>
          </w:tcPr>
          <w:p w14:paraId="0325DBEE" w14:textId="607B8C1E" w:rsidR="00201202" w:rsidRPr="00F66CD4" w:rsidRDefault="00F66CD4" w:rsidP="0060631D">
            <w:pPr>
              <w:pStyle w:val="QCATableText"/>
              <w:spacing w:before="40" w:after="40"/>
              <w:ind w:firstLine="7"/>
              <w:jc w:val="center"/>
              <w:rPr>
                <w:rStyle w:val="QCABold"/>
              </w:rPr>
            </w:pPr>
            <w:r>
              <w:rPr>
                <w:rStyle w:val="QCABold"/>
              </w:rPr>
              <w:t>88</w:t>
            </w:r>
          </w:p>
        </w:tc>
      </w:tr>
      <w:bookmarkEnd w:id="188"/>
    </w:tbl>
    <w:p w14:paraId="31F59820" w14:textId="77777777" w:rsidR="00D27F8B" w:rsidRDefault="00D27F8B">
      <w:pPr>
        <w:pStyle w:val="QCABodyText"/>
      </w:pPr>
    </w:p>
    <w:p w14:paraId="35D9E1D0" w14:textId="77777777" w:rsidR="00EC23BF" w:rsidRPr="00EC23BF" w:rsidRDefault="00EC23BF" w:rsidP="00EC23BF">
      <w:pPr>
        <w:pStyle w:val="QCABodyText"/>
        <w:sectPr w:rsidR="00EC23BF" w:rsidRPr="00EC23BF" w:rsidSect="004058E9">
          <w:pgSz w:w="11907" w:h="16840" w:code="9"/>
          <w:pgMar w:top="1361" w:right="1134" w:bottom="1701" w:left="1701" w:header="510" w:footer="170" w:gutter="0"/>
          <w:cols w:space="720"/>
          <w:docGrid w:linePitch="272"/>
        </w:sectPr>
      </w:pPr>
    </w:p>
    <w:p w14:paraId="02B8A868" w14:textId="77777777" w:rsidR="003A2362" w:rsidRPr="004416CF" w:rsidRDefault="003A2362" w:rsidP="00F653F7">
      <w:pPr>
        <w:pStyle w:val="Heading3-nospaceabove"/>
      </w:pPr>
      <w:r w:rsidRPr="00F42345">
        <w:lastRenderedPageBreak/>
        <w:t xml:space="preserve">Publicly </w:t>
      </w:r>
      <w:r w:rsidR="004A1282" w:rsidRPr="00F42345">
        <w:t>a</w:t>
      </w:r>
      <w:r w:rsidRPr="00F42345">
        <w:t xml:space="preserve">vailable </w:t>
      </w:r>
      <w:r w:rsidR="004A1282" w:rsidRPr="00F42345">
        <w:t>p</w:t>
      </w:r>
      <w:r w:rsidRPr="00F42345">
        <w:t>ublications</w:t>
      </w:r>
    </w:p>
    <w:p w14:paraId="012147F8" w14:textId="214BA8A2" w:rsidR="00301309" w:rsidRDefault="00C6475E">
      <w:pPr>
        <w:pStyle w:val="QCABodyText"/>
      </w:pPr>
      <w:r>
        <w:t>P</w:t>
      </w:r>
      <w:r w:rsidR="009C5D62" w:rsidRPr="009C5D62">
        <w:t xml:space="preserve">ublicly available </w:t>
      </w:r>
      <w:r>
        <w:t>documents</w:t>
      </w:r>
      <w:r w:rsidR="009C5D62" w:rsidRPr="009C5D62">
        <w:t xml:space="preserve"> </w:t>
      </w:r>
      <w:r w:rsidR="006C1319">
        <w:t xml:space="preserve">are available on our </w:t>
      </w:r>
      <w:hyperlink r:id="rId46" w:history="1">
        <w:r w:rsidR="006C1319" w:rsidRPr="00EB0E51">
          <w:rPr>
            <w:rStyle w:val="Hyperlink"/>
          </w:rPr>
          <w:t>website</w:t>
        </w:r>
      </w:hyperlink>
      <w:r w:rsidR="00EB0E51">
        <w:t>.</w:t>
      </w:r>
      <w:r w:rsidR="006C1319">
        <w:t xml:space="preserve"> Hard</w:t>
      </w:r>
      <w:r w:rsidR="00EB0E51">
        <w:t xml:space="preserve"> </w:t>
      </w:r>
      <w:r w:rsidR="006C1319">
        <w:t xml:space="preserve">copies </w:t>
      </w:r>
      <w:r w:rsidR="009C5D62" w:rsidRPr="009C5D62">
        <w:t>can</w:t>
      </w:r>
      <w:r w:rsidR="006C1319">
        <w:t xml:space="preserve"> also </w:t>
      </w:r>
      <w:r w:rsidR="009C5D62" w:rsidRPr="009C5D62">
        <w:t xml:space="preserve">be obtained </w:t>
      </w:r>
      <w:r w:rsidR="00243B62">
        <w:t>by contacting us</w:t>
      </w:r>
      <w:r w:rsidR="000933EE">
        <w:t>.</w:t>
      </w:r>
      <w:r w:rsidR="000933EE" w:rsidRPr="009C5D62">
        <w:t xml:space="preserve"> </w:t>
      </w:r>
    </w:p>
    <w:tbl>
      <w:tblPr>
        <w:tblW w:w="5000" w:type="pct"/>
        <w:tblBorders>
          <w:insideH w:val="dotted" w:sz="4" w:space="0" w:color="58595B"/>
        </w:tblBorders>
        <w:shd w:val="clear" w:color="auto" w:fill="F2F2F2"/>
        <w:tblCellMar>
          <w:bottom w:w="40" w:type="dxa"/>
        </w:tblCellMar>
        <w:tblLook w:val="06A0" w:firstRow="1" w:lastRow="0" w:firstColumn="1" w:lastColumn="0" w:noHBand="1" w:noVBand="1"/>
      </w:tblPr>
      <w:tblGrid>
        <w:gridCol w:w="1631"/>
        <w:gridCol w:w="8007"/>
      </w:tblGrid>
      <w:tr w:rsidR="00D35661" w:rsidRPr="004416CF" w14:paraId="5F30C7A5" w14:textId="77777777" w:rsidTr="00731D6C">
        <w:trPr>
          <w:cantSplit/>
          <w:tblHeader/>
        </w:trPr>
        <w:tc>
          <w:tcPr>
            <w:tcW w:w="846" w:type="pct"/>
            <w:tcBorders>
              <w:top w:val="nil"/>
              <w:bottom w:val="nil"/>
            </w:tcBorders>
            <w:shd w:val="clear" w:color="auto" w:fill="C0C0C0"/>
            <w:hideMark/>
          </w:tcPr>
          <w:p w14:paraId="74D2B2AF" w14:textId="2AC48347" w:rsidR="00D35661" w:rsidRPr="004416CF" w:rsidRDefault="00D35661" w:rsidP="00F9281A">
            <w:pPr>
              <w:pStyle w:val="QCATableHeading"/>
            </w:pPr>
            <w:r w:rsidRPr="004416CF">
              <w:t xml:space="preserve">Release </w:t>
            </w:r>
            <w:r w:rsidR="00132A3B">
              <w:t>d</w:t>
            </w:r>
            <w:r w:rsidRPr="004416CF">
              <w:t>ate</w:t>
            </w:r>
          </w:p>
        </w:tc>
        <w:tc>
          <w:tcPr>
            <w:tcW w:w="4154" w:type="pct"/>
            <w:tcBorders>
              <w:top w:val="nil"/>
              <w:bottom w:val="nil"/>
            </w:tcBorders>
            <w:shd w:val="clear" w:color="auto" w:fill="C0C0C0"/>
            <w:hideMark/>
          </w:tcPr>
          <w:p w14:paraId="521DE040" w14:textId="763BA3A1" w:rsidR="00D35661" w:rsidRPr="004416CF" w:rsidRDefault="001B6527" w:rsidP="00F9281A">
            <w:pPr>
              <w:pStyle w:val="QCATableHeading"/>
            </w:pPr>
            <w:r>
              <w:t>Description</w:t>
            </w:r>
          </w:p>
        </w:tc>
      </w:tr>
      <w:tr w:rsidR="003D0E91" w:rsidRPr="004416CF" w14:paraId="4A0794B5" w14:textId="77777777" w:rsidTr="00731D6C">
        <w:trPr>
          <w:cantSplit/>
        </w:trPr>
        <w:tc>
          <w:tcPr>
            <w:tcW w:w="5000" w:type="pct"/>
            <w:gridSpan w:val="2"/>
            <w:tcBorders>
              <w:top w:val="nil"/>
              <w:bottom w:val="single" w:sz="4" w:space="0" w:color="auto"/>
            </w:tcBorders>
            <w:shd w:val="clear" w:color="auto" w:fill="F2F2F2"/>
            <w:hideMark/>
          </w:tcPr>
          <w:p w14:paraId="6D680152" w14:textId="69A85741" w:rsidR="003D0E91" w:rsidRPr="004416CF" w:rsidRDefault="00336BE7" w:rsidP="00EC5812">
            <w:pPr>
              <w:pStyle w:val="QCATableHeading2"/>
            </w:pPr>
            <w:r>
              <w:t>20</w:t>
            </w:r>
            <w:r w:rsidR="00F76ABD">
              <w:t>2</w:t>
            </w:r>
            <w:r w:rsidR="00D506AC">
              <w:t>1</w:t>
            </w:r>
          </w:p>
        </w:tc>
      </w:tr>
      <w:tr w:rsidR="004C3487" w:rsidRPr="004416CF" w14:paraId="32EC5668" w14:textId="77777777" w:rsidTr="00FE27A8">
        <w:trPr>
          <w:cantSplit/>
        </w:trPr>
        <w:tc>
          <w:tcPr>
            <w:tcW w:w="846" w:type="pct"/>
            <w:tcBorders>
              <w:top w:val="dotted" w:sz="4" w:space="0" w:color="58595B"/>
              <w:bottom w:val="dotted" w:sz="4" w:space="0" w:color="58595B"/>
            </w:tcBorders>
            <w:shd w:val="clear" w:color="auto" w:fill="auto"/>
          </w:tcPr>
          <w:p w14:paraId="1090ED02" w14:textId="43776FF3" w:rsidR="004C3487" w:rsidRDefault="0030350B" w:rsidP="004C3487">
            <w:pPr>
              <w:pStyle w:val="QCATableText"/>
            </w:pPr>
            <w:r>
              <w:t>June 2021</w:t>
            </w:r>
          </w:p>
        </w:tc>
        <w:tc>
          <w:tcPr>
            <w:tcW w:w="4154" w:type="pct"/>
            <w:tcBorders>
              <w:top w:val="dotted" w:sz="4" w:space="0" w:color="58595B"/>
              <w:bottom w:val="dotted" w:sz="4" w:space="0" w:color="58595B"/>
            </w:tcBorders>
            <w:shd w:val="clear" w:color="auto" w:fill="auto"/>
          </w:tcPr>
          <w:p w14:paraId="22E128F0" w14:textId="1EFE2154" w:rsidR="004C3487" w:rsidRPr="0046629D" w:rsidDel="00452237" w:rsidRDefault="0030350B" w:rsidP="004C3487">
            <w:pPr>
              <w:pStyle w:val="QCATableText"/>
            </w:pPr>
            <w:r>
              <w:t>Rate of return review 2021—draft report</w:t>
            </w:r>
          </w:p>
        </w:tc>
      </w:tr>
      <w:tr w:rsidR="004C3487" w:rsidRPr="004416CF" w14:paraId="5B1A82D5" w14:textId="77777777" w:rsidTr="00FE27A8">
        <w:trPr>
          <w:cantSplit/>
        </w:trPr>
        <w:tc>
          <w:tcPr>
            <w:tcW w:w="846" w:type="pct"/>
            <w:tcBorders>
              <w:top w:val="dotted" w:sz="4" w:space="0" w:color="58595B"/>
              <w:bottom w:val="dotted" w:sz="4" w:space="0" w:color="58595B"/>
            </w:tcBorders>
            <w:shd w:val="clear" w:color="auto" w:fill="auto"/>
          </w:tcPr>
          <w:p w14:paraId="544CCFBA" w14:textId="3D20D49B" w:rsidR="004C3487" w:rsidRDefault="0030350B" w:rsidP="004C3487">
            <w:pPr>
              <w:pStyle w:val="QCATableText"/>
            </w:pPr>
            <w:r>
              <w:t>June 2021</w:t>
            </w:r>
          </w:p>
        </w:tc>
        <w:tc>
          <w:tcPr>
            <w:tcW w:w="4154" w:type="pct"/>
            <w:tcBorders>
              <w:top w:val="dotted" w:sz="4" w:space="0" w:color="58595B"/>
              <w:bottom w:val="dotted" w:sz="4" w:space="0" w:color="58595B"/>
            </w:tcBorders>
            <w:shd w:val="clear" w:color="auto" w:fill="auto"/>
          </w:tcPr>
          <w:p w14:paraId="21C9F075" w14:textId="27994E5B" w:rsidR="004C3487" w:rsidRPr="0046629D" w:rsidDel="00452237" w:rsidRDefault="0030350B" w:rsidP="004C3487">
            <w:pPr>
              <w:pStyle w:val="QCATableText"/>
            </w:pPr>
            <w:r>
              <w:t>Aurizon Network’s 2021–22 annual reference tariff review—final decision</w:t>
            </w:r>
          </w:p>
        </w:tc>
      </w:tr>
      <w:tr w:rsidR="004C3487" w:rsidRPr="004416CF" w14:paraId="3EBBEB4B" w14:textId="77777777" w:rsidTr="00FE27A8">
        <w:trPr>
          <w:cantSplit/>
        </w:trPr>
        <w:tc>
          <w:tcPr>
            <w:tcW w:w="846" w:type="pct"/>
            <w:tcBorders>
              <w:top w:val="dotted" w:sz="4" w:space="0" w:color="58595B"/>
              <w:bottom w:val="dotted" w:sz="4" w:space="0" w:color="58595B"/>
            </w:tcBorders>
            <w:shd w:val="clear" w:color="auto" w:fill="auto"/>
          </w:tcPr>
          <w:p w14:paraId="32B533BE" w14:textId="5EC8DB9F" w:rsidR="004C3487" w:rsidRDefault="0030350B" w:rsidP="004C3487">
            <w:pPr>
              <w:pStyle w:val="QCATableText"/>
            </w:pPr>
            <w:r>
              <w:t>June 2021</w:t>
            </w:r>
          </w:p>
        </w:tc>
        <w:tc>
          <w:tcPr>
            <w:tcW w:w="4154" w:type="pct"/>
            <w:tcBorders>
              <w:top w:val="dotted" w:sz="4" w:space="0" w:color="58595B"/>
              <w:bottom w:val="dotted" w:sz="4" w:space="0" w:color="58595B"/>
            </w:tcBorders>
            <w:shd w:val="clear" w:color="auto" w:fill="auto"/>
          </w:tcPr>
          <w:p w14:paraId="6C8ED630" w14:textId="34EA9954" w:rsidR="004C3487" w:rsidRDefault="0030350B" w:rsidP="004C3487">
            <w:pPr>
              <w:pStyle w:val="QCATableText"/>
            </w:pPr>
            <w:r>
              <w:t>Seqwater bulk water prices 2022–26—notice of investigation</w:t>
            </w:r>
          </w:p>
        </w:tc>
      </w:tr>
      <w:tr w:rsidR="004C3487" w:rsidRPr="004416CF" w14:paraId="545AE710" w14:textId="77777777" w:rsidTr="00FE27A8">
        <w:trPr>
          <w:cantSplit/>
        </w:trPr>
        <w:tc>
          <w:tcPr>
            <w:tcW w:w="846" w:type="pct"/>
            <w:tcBorders>
              <w:top w:val="dotted" w:sz="4" w:space="0" w:color="58595B"/>
              <w:bottom w:val="dotted" w:sz="4" w:space="0" w:color="58595B"/>
            </w:tcBorders>
            <w:shd w:val="clear" w:color="auto" w:fill="auto"/>
          </w:tcPr>
          <w:p w14:paraId="430A389D" w14:textId="6E7925C1" w:rsidR="004C3487" w:rsidRDefault="0030350B" w:rsidP="004C3487">
            <w:pPr>
              <w:pStyle w:val="QCATableText"/>
            </w:pPr>
            <w:r>
              <w:t>June 2021</w:t>
            </w:r>
          </w:p>
        </w:tc>
        <w:tc>
          <w:tcPr>
            <w:tcW w:w="4154" w:type="pct"/>
            <w:tcBorders>
              <w:top w:val="dotted" w:sz="4" w:space="0" w:color="58595B"/>
              <w:bottom w:val="dotted" w:sz="4" w:space="0" w:color="58595B"/>
            </w:tcBorders>
            <w:shd w:val="clear" w:color="auto" w:fill="auto"/>
          </w:tcPr>
          <w:p w14:paraId="7A2ABB28" w14:textId="1EAE1EA9" w:rsidR="004C3487" w:rsidRDefault="0030350B" w:rsidP="004C3487">
            <w:pPr>
              <w:pStyle w:val="QCATableText"/>
            </w:pPr>
            <w:r>
              <w:t>Seqwater bulk water prices 2022–26—information notice</w:t>
            </w:r>
          </w:p>
        </w:tc>
      </w:tr>
      <w:tr w:rsidR="004C3487" w:rsidRPr="004416CF" w14:paraId="07244A85" w14:textId="77777777" w:rsidTr="00FE27A8">
        <w:trPr>
          <w:cantSplit/>
        </w:trPr>
        <w:tc>
          <w:tcPr>
            <w:tcW w:w="846" w:type="pct"/>
            <w:tcBorders>
              <w:top w:val="dotted" w:sz="4" w:space="0" w:color="58595B"/>
              <w:bottom w:val="dotted" w:sz="4" w:space="0" w:color="58595B"/>
            </w:tcBorders>
            <w:shd w:val="clear" w:color="auto" w:fill="auto"/>
          </w:tcPr>
          <w:p w14:paraId="190E5518" w14:textId="78FFB909" w:rsidR="004C3487" w:rsidRDefault="0030350B" w:rsidP="004C3487">
            <w:pPr>
              <w:pStyle w:val="QCATableText"/>
            </w:pPr>
            <w:r>
              <w:t>June 2021</w:t>
            </w:r>
          </w:p>
        </w:tc>
        <w:tc>
          <w:tcPr>
            <w:tcW w:w="4154" w:type="pct"/>
            <w:tcBorders>
              <w:top w:val="dotted" w:sz="4" w:space="0" w:color="58595B"/>
              <w:bottom w:val="dotted" w:sz="4" w:space="0" w:color="58595B"/>
            </w:tcBorders>
            <w:shd w:val="clear" w:color="auto" w:fill="auto"/>
          </w:tcPr>
          <w:p w14:paraId="55E32C38" w14:textId="590F7873" w:rsidR="004C3487" w:rsidRDefault="0030350B" w:rsidP="004C3487">
            <w:pPr>
              <w:pStyle w:val="QCATableText"/>
            </w:pPr>
            <w:r>
              <w:t>Queensland Rail’s 2019–20 capital expenditure claim—decision notice</w:t>
            </w:r>
          </w:p>
        </w:tc>
      </w:tr>
      <w:tr w:rsidR="0030350B" w:rsidRPr="004416CF" w14:paraId="3F1062B9" w14:textId="77777777" w:rsidTr="00FE27A8">
        <w:trPr>
          <w:cantSplit/>
        </w:trPr>
        <w:tc>
          <w:tcPr>
            <w:tcW w:w="846" w:type="pct"/>
            <w:tcBorders>
              <w:top w:val="dotted" w:sz="4" w:space="0" w:color="58595B"/>
              <w:bottom w:val="dotted" w:sz="4" w:space="0" w:color="58595B"/>
            </w:tcBorders>
            <w:shd w:val="clear" w:color="auto" w:fill="auto"/>
          </w:tcPr>
          <w:p w14:paraId="164B928E" w14:textId="4DBBF4C3" w:rsidR="0030350B" w:rsidRDefault="0030350B" w:rsidP="0030350B">
            <w:pPr>
              <w:pStyle w:val="QCATableText"/>
            </w:pPr>
            <w:r>
              <w:t>June 2021</w:t>
            </w:r>
          </w:p>
        </w:tc>
        <w:tc>
          <w:tcPr>
            <w:tcW w:w="4154" w:type="pct"/>
            <w:tcBorders>
              <w:top w:val="dotted" w:sz="4" w:space="0" w:color="58595B"/>
              <w:bottom w:val="dotted" w:sz="4" w:space="0" w:color="58595B"/>
            </w:tcBorders>
            <w:shd w:val="clear" w:color="auto" w:fill="auto"/>
          </w:tcPr>
          <w:p w14:paraId="6C421AF0" w14:textId="31E9DBD8" w:rsidR="0030350B" w:rsidRDefault="0030350B" w:rsidP="0030350B">
            <w:pPr>
              <w:pStyle w:val="QCATableText"/>
            </w:pPr>
            <w:r w:rsidRPr="00754FB3">
              <w:t>Regional Queensland solar feed-in tariff 2021–22</w:t>
            </w:r>
            <w:r>
              <w:t>—report</w:t>
            </w:r>
          </w:p>
        </w:tc>
      </w:tr>
      <w:tr w:rsidR="0030350B" w:rsidRPr="004416CF" w14:paraId="28465C71" w14:textId="77777777" w:rsidTr="00FE27A8">
        <w:trPr>
          <w:cantSplit/>
        </w:trPr>
        <w:tc>
          <w:tcPr>
            <w:tcW w:w="846" w:type="pct"/>
            <w:tcBorders>
              <w:top w:val="dotted" w:sz="4" w:space="0" w:color="58595B"/>
              <w:bottom w:val="dotted" w:sz="4" w:space="0" w:color="58595B"/>
            </w:tcBorders>
            <w:shd w:val="clear" w:color="auto" w:fill="auto"/>
          </w:tcPr>
          <w:p w14:paraId="72A81EA8" w14:textId="29DBC14C" w:rsidR="0030350B" w:rsidRDefault="0030350B" w:rsidP="0030350B">
            <w:pPr>
              <w:pStyle w:val="QCATableText"/>
            </w:pPr>
            <w:r>
              <w:t>June 2021</w:t>
            </w:r>
          </w:p>
        </w:tc>
        <w:tc>
          <w:tcPr>
            <w:tcW w:w="4154" w:type="pct"/>
            <w:tcBorders>
              <w:top w:val="dotted" w:sz="4" w:space="0" w:color="58595B"/>
              <w:bottom w:val="dotted" w:sz="4" w:space="0" w:color="58595B"/>
            </w:tcBorders>
            <w:shd w:val="clear" w:color="auto" w:fill="auto"/>
          </w:tcPr>
          <w:p w14:paraId="36AD0FDD" w14:textId="5C2A8A0B" w:rsidR="0030350B" w:rsidRDefault="0030350B" w:rsidP="0030350B">
            <w:pPr>
              <w:pStyle w:val="QCATableText"/>
            </w:pPr>
            <w:r w:rsidRPr="00754FB3">
              <w:t>Regional Queensland solar feed-in tariff 2021–22</w:t>
            </w:r>
            <w:r>
              <w:t>—fact sheet</w:t>
            </w:r>
          </w:p>
        </w:tc>
      </w:tr>
      <w:tr w:rsidR="004C3487" w:rsidRPr="004416CF" w14:paraId="6EE4C89E" w14:textId="77777777" w:rsidTr="00FE27A8">
        <w:trPr>
          <w:cantSplit/>
        </w:trPr>
        <w:tc>
          <w:tcPr>
            <w:tcW w:w="846" w:type="pct"/>
            <w:tcBorders>
              <w:top w:val="dotted" w:sz="4" w:space="0" w:color="58595B"/>
              <w:bottom w:val="dotted" w:sz="4" w:space="0" w:color="58595B"/>
            </w:tcBorders>
            <w:shd w:val="clear" w:color="auto" w:fill="auto"/>
          </w:tcPr>
          <w:p w14:paraId="5F5F8878" w14:textId="6FDEA4CC" w:rsidR="004C3487" w:rsidRDefault="0030350B" w:rsidP="004C3487">
            <w:pPr>
              <w:pStyle w:val="QCATableText"/>
            </w:pPr>
            <w:r>
              <w:t>June 2021</w:t>
            </w:r>
          </w:p>
        </w:tc>
        <w:tc>
          <w:tcPr>
            <w:tcW w:w="4154" w:type="pct"/>
            <w:tcBorders>
              <w:top w:val="dotted" w:sz="4" w:space="0" w:color="58595B"/>
              <w:bottom w:val="dotted" w:sz="4" w:space="0" w:color="58595B"/>
            </w:tcBorders>
            <w:shd w:val="clear" w:color="auto" w:fill="auto"/>
          </w:tcPr>
          <w:p w14:paraId="6F035BC7" w14:textId="799B0020" w:rsidR="004C3487" w:rsidRDefault="0030350B" w:rsidP="004C3487">
            <w:pPr>
              <w:pStyle w:val="QCATableText"/>
            </w:pPr>
            <w:r>
              <w:t>Regional Queensland solar feed-in tariff 2021–22—media release</w:t>
            </w:r>
          </w:p>
        </w:tc>
      </w:tr>
      <w:tr w:rsidR="007F034F" w:rsidRPr="004416CF" w14:paraId="47CF2186" w14:textId="77777777" w:rsidTr="00FE27A8">
        <w:trPr>
          <w:cantSplit/>
        </w:trPr>
        <w:tc>
          <w:tcPr>
            <w:tcW w:w="846" w:type="pct"/>
            <w:tcBorders>
              <w:top w:val="dotted" w:sz="4" w:space="0" w:color="58595B"/>
              <w:bottom w:val="dotted" w:sz="4" w:space="0" w:color="58595B"/>
            </w:tcBorders>
            <w:shd w:val="clear" w:color="auto" w:fill="auto"/>
          </w:tcPr>
          <w:p w14:paraId="59F141D2" w14:textId="2F35AC2B" w:rsidR="007F034F" w:rsidRDefault="007F034F" w:rsidP="007F034F">
            <w:pPr>
              <w:pStyle w:val="QCATableText"/>
            </w:pPr>
            <w:r>
              <w:t>June 2021</w:t>
            </w:r>
          </w:p>
        </w:tc>
        <w:tc>
          <w:tcPr>
            <w:tcW w:w="4154" w:type="pct"/>
            <w:tcBorders>
              <w:top w:val="dotted" w:sz="4" w:space="0" w:color="58595B"/>
              <w:bottom w:val="dotted" w:sz="4" w:space="0" w:color="58595B"/>
            </w:tcBorders>
            <w:shd w:val="clear" w:color="auto" w:fill="auto"/>
          </w:tcPr>
          <w:p w14:paraId="1776E8D6" w14:textId="17264E55" w:rsidR="007F034F" w:rsidRDefault="007F034F" w:rsidP="007F034F">
            <w:pPr>
              <w:pStyle w:val="QCATableText"/>
            </w:pPr>
            <w:r w:rsidRPr="005011B0">
              <w:t>Regulated electricity prices for regional Queensland 2021–22</w:t>
            </w:r>
            <w:r>
              <w:t>—final determination</w:t>
            </w:r>
          </w:p>
        </w:tc>
      </w:tr>
      <w:tr w:rsidR="007F034F" w:rsidRPr="004416CF" w14:paraId="027D24A6" w14:textId="77777777" w:rsidTr="00FE27A8">
        <w:trPr>
          <w:cantSplit/>
        </w:trPr>
        <w:tc>
          <w:tcPr>
            <w:tcW w:w="846" w:type="pct"/>
            <w:tcBorders>
              <w:top w:val="dotted" w:sz="4" w:space="0" w:color="58595B"/>
              <w:bottom w:val="dotted" w:sz="4" w:space="0" w:color="58595B"/>
            </w:tcBorders>
            <w:shd w:val="clear" w:color="auto" w:fill="auto"/>
          </w:tcPr>
          <w:p w14:paraId="7045EBF7" w14:textId="53B04AE2" w:rsidR="007F034F" w:rsidRDefault="007F034F" w:rsidP="007F034F">
            <w:pPr>
              <w:pStyle w:val="QCATableText"/>
            </w:pPr>
            <w:r>
              <w:t>June 2021</w:t>
            </w:r>
          </w:p>
        </w:tc>
        <w:tc>
          <w:tcPr>
            <w:tcW w:w="4154" w:type="pct"/>
            <w:tcBorders>
              <w:top w:val="dotted" w:sz="4" w:space="0" w:color="58595B"/>
              <w:bottom w:val="dotted" w:sz="4" w:space="0" w:color="58595B"/>
            </w:tcBorders>
            <w:shd w:val="clear" w:color="auto" w:fill="auto"/>
          </w:tcPr>
          <w:p w14:paraId="457A5E36" w14:textId="16F5B47A" w:rsidR="007F034F" w:rsidRDefault="007F034F" w:rsidP="007F034F">
            <w:pPr>
              <w:pStyle w:val="QCATableText"/>
            </w:pPr>
            <w:r w:rsidRPr="005011B0">
              <w:t>Regulated electricity prices for regional Queensland 2021–22</w:t>
            </w:r>
            <w:r>
              <w:t>—technical appendices</w:t>
            </w:r>
          </w:p>
        </w:tc>
      </w:tr>
      <w:tr w:rsidR="007F034F" w:rsidRPr="004416CF" w14:paraId="4F431ACA" w14:textId="77777777" w:rsidTr="00FE27A8">
        <w:trPr>
          <w:cantSplit/>
        </w:trPr>
        <w:tc>
          <w:tcPr>
            <w:tcW w:w="846" w:type="pct"/>
            <w:tcBorders>
              <w:top w:val="dotted" w:sz="4" w:space="0" w:color="58595B"/>
              <w:bottom w:val="dotted" w:sz="4" w:space="0" w:color="58595B"/>
            </w:tcBorders>
            <w:shd w:val="clear" w:color="auto" w:fill="auto"/>
          </w:tcPr>
          <w:p w14:paraId="5CE6FA9A" w14:textId="564660FB" w:rsidR="007F034F" w:rsidRDefault="007F034F" w:rsidP="007F034F">
            <w:pPr>
              <w:pStyle w:val="QCATableText"/>
            </w:pPr>
            <w:r>
              <w:t>June 2021</w:t>
            </w:r>
          </w:p>
        </w:tc>
        <w:tc>
          <w:tcPr>
            <w:tcW w:w="4154" w:type="pct"/>
            <w:tcBorders>
              <w:top w:val="dotted" w:sz="4" w:space="0" w:color="58595B"/>
              <w:bottom w:val="dotted" w:sz="4" w:space="0" w:color="58595B"/>
            </w:tcBorders>
            <w:shd w:val="clear" w:color="auto" w:fill="auto"/>
          </w:tcPr>
          <w:p w14:paraId="2428E0C1" w14:textId="5CDA33B7" w:rsidR="007F034F" w:rsidRDefault="007F034F" w:rsidP="007F034F">
            <w:pPr>
              <w:pStyle w:val="QCATableText"/>
            </w:pPr>
            <w:r w:rsidRPr="005011B0">
              <w:t>Regulated electricity prices for regional Queensland 2021–22</w:t>
            </w:r>
            <w:r>
              <w:t>—information booklet</w:t>
            </w:r>
          </w:p>
        </w:tc>
      </w:tr>
      <w:tr w:rsidR="004C3487" w:rsidRPr="004416CF" w14:paraId="24D4EB28" w14:textId="77777777" w:rsidTr="00FE27A8">
        <w:trPr>
          <w:cantSplit/>
        </w:trPr>
        <w:tc>
          <w:tcPr>
            <w:tcW w:w="846" w:type="pct"/>
            <w:tcBorders>
              <w:top w:val="dotted" w:sz="4" w:space="0" w:color="58595B"/>
              <w:bottom w:val="dotted" w:sz="4" w:space="0" w:color="58595B"/>
            </w:tcBorders>
            <w:shd w:val="clear" w:color="auto" w:fill="auto"/>
          </w:tcPr>
          <w:p w14:paraId="5C678695" w14:textId="58DF08F0" w:rsidR="004C3487" w:rsidRDefault="006E3A43" w:rsidP="004C3487">
            <w:pPr>
              <w:pStyle w:val="QCATableText"/>
            </w:pPr>
            <w:r>
              <w:t>June 2021</w:t>
            </w:r>
          </w:p>
        </w:tc>
        <w:tc>
          <w:tcPr>
            <w:tcW w:w="4154" w:type="pct"/>
            <w:tcBorders>
              <w:top w:val="dotted" w:sz="4" w:space="0" w:color="58595B"/>
              <w:bottom w:val="dotted" w:sz="4" w:space="0" w:color="58595B"/>
            </w:tcBorders>
            <w:shd w:val="clear" w:color="auto" w:fill="auto"/>
          </w:tcPr>
          <w:p w14:paraId="0AA2DBBF" w14:textId="52AF995D" w:rsidR="004C3487" w:rsidRDefault="007F034F" w:rsidP="004C3487">
            <w:pPr>
              <w:pStyle w:val="QCATableText"/>
            </w:pPr>
            <w:r>
              <w:t>Regulated electricity prices for regional Queensland 2021–22—media release</w:t>
            </w:r>
          </w:p>
        </w:tc>
      </w:tr>
      <w:tr w:rsidR="004C3487" w:rsidRPr="004416CF" w14:paraId="7CE8260E" w14:textId="77777777" w:rsidTr="00FE27A8">
        <w:trPr>
          <w:cantSplit/>
        </w:trPr>
        <w:tc>
          <w:tcPr>
            <w:tcW w:w="846" w:type="pct"/>
            <w:tcBorders>
              <w:top w:val="dotted" w:sz="4" w:space="0" w:color="58595B"/>
              <w:bottom w:val="dotted" w:sz="4" w:space="0" w:color="58595B"/>
            </w:tcBorders>
            <w:shd w:val="clear" w:color="auto" w:fill="auto"/>
          </w:tcPr>
          <w:p w14:paraId="174E1CEC" w14:textId="74846A06" w:rsidR="004C3487" w:rsidRDefault="004C0885" w:rsidP="004C3487">
            <w:pPr>
              <w:pStyle w:val="QCATableText"/>
            </w:pPr>
            <w:r>
              <w:t>June 2021</w:t>
            </w:r>
          </w:p>
        </w:tc>
        <w:tc>
          <w:tcPr>
            <w:tcW w:w="4154" w:type="pct"/>
            <w:tcBorders>
              <w:top w:val="dotted" w:sz="4" w:space="0" w:color="58595B"/>
              <w:bottom w:val="dotted" w:sz="4" w:space="0" w:color="58595B"/>
            </w:tcBorders>
            <w:shd w:val="clear" w:color="auto" w:fill="auto"/>
          </w:tcPr>
          <w:p w14:paraId="2AB856D6" w14:textId="5ED011BD" w:rsidR="004C3487" w:rsidRDefault="006E3A43" w:rsidP="004C3487">
            <w:pPr>
              <w:pStyle w:val="QCATableText"/>
            </w:pPr>
            <w:r>
              <w:t>Energy enforcement action: Origin Energy processing and paper bill fees—media release</w:t>
            </w:r>
          </w:p>
        </w:tc>
      </w:tr>
      <w:tr w:rsidR="004C3487" w:rsidRPr="004416CF" w14:paraId="7EA7B201" w14:textId="77777777" w:rsidTr="00FE27A8">
        <w:trPr>
          <w:cantSplit/>
        </w:trPr>
        <w:tc>
          <w:tcPr>
            <w:tcW w:w="846" w:type="pct"/>
            <w:tcBorders>
              <w:top w:val="dotted" w:sz="4" w:space="0" w:color="58595B"/>
              <w:bottom w:val="dotted" w:sz="4" w:space="0" w:color="58595B"/>
            </w:tcBorders>
            <w:shd w:val="clear" w:color="auto" w:fill="auto"/>
          </w:tcPr>
          <w:p w14:paraId="3E5F42A1" w14:textId="6B251A26" w:rsidR="004C3487" w:rsidRDefault="00AE4996" w:rsidP="004C3487">
            <w:pPr>
              <w:pStyle w:val="QCATableText"/>
            </w:pPr>
            <w:r>
              <w:t>June 2021</w:t>
            </w:r>
          </w:p>
        </w:tc>
        <w:tc>
          <w:tcPr>
            <w:tcW w:w="4154" w:type="pct"/>
            <w:tcBorders>
              <w:top w:val="dotted" w:sz="4" w:space="0" w:color="58595B"/>
              <w:bottom w:val="dotted" w:sz="4" w:space="0" w:color="58595B"/>
            </w:tcBorders>
            <w:shd w:val="clear" w:color="auto" w:fill="auto"/>
          </w:tcPr>
          <w:p w14:paraId="678BF0F4" w14:textId="4267A11C" w:rsidR="004C3487" w:rsidRDefault="00AE4996" w:rsidP="004C3487">
            <w:pPr>
              <w:pStyle w:val="QCATableText"/>
            </w:pPr>
            <w:r>
              <w:t>Form for a declaration request</w:t>
            </w:r>
          </w:p>
        </w:tc>
      </w:tr>
      <w:tr w:rsidR="004C3487" w:rsidRPr="004416CF" w14:paraId="3AF7EE19" w14:textId="77777777" w:rsidTr="00FE27A8">
        <w:trPr>
          <w:cantSplit/>
        </w:trPr>
        <w:tc>
          <w:tcPr>
            <w:tcW w:w="846" w:type="pct"/>
            <w:tcBorders>
              <w:top w:val="dotted" w:sz="4" w:space="0" w:color="58595B"/>
              <w:bottom w:val="dotted" w:sz="4" w:space="0" w:color="58595B"/>
            </w:tcBorders>
            <w:shd w:val="clear" w:color="auto" w:fill="auto"/>
          </w:tcPr>
          <w:p w14:paraId="2DCDA64E" w14:textId="191E8A82" w:rsidR="004C3487" w:rsidRDefault="00DE51D3" w:rsidP="004C3487">
            <w:pPr>
              <w:pStyle w:val="QCATableText"/>
            </w:pPr>
            <w:r>
              <w:t>June 2021</w:t>
            </w:r>
          </w:p>
        </w:tc>
        <w:tc>
          <w:tcPr>
            <w:tcW w:w="4154" w:type="pct"/>
            <w:tcBorders>
              <w:top w:val="dotted" w:sz="4" w:space="0" w:color="58595B"/>
              <w:bottom w:val="dotted" w:sz="4" w:space="0" w:color="58595B"/>
            </w:tcBorders>
            <w:shd w:val="clear" w:color="auto" w:fill="auto"/>
          </w:tcPr>
          <w:p w14:paraId="4571D4A7" w14:textId="51E3EB74" w:rsidR="004C3487" w:rsidRDefault="00AE4996" w:rsidP="004C3487">
            <w:pPr>
              <w:pStyle w:val="QCATableText"/>
            </w:pPr>
            <w:r>
              <w:t>Guide to declaration under Part 5 of the QCA Act</w:t>
            </w:r>
          </w:p>
        </w:tc>
      </w:tr>
      <w:tr w:rsidR="004C3487" w:rsidRPr="004416CF" w14:paraId="3CD85C18" w14:textId="77777777" w:rsidTr="00FE27A8">
        <w:trPr>
          <w:cantSplit/>
        </w:trPr>
        <w:tc>
          <w:tcPr>
            <w:tcW w:w="846" w:type="pct"/>
            <w:tcBorders>
              <w:top w:val="dotted" w:sz="4" w:space="0" w:color="58595B"/>
              <w:bottom w:val="dotted" w:sz="4" w:space="0" w:color="58595B"/>
            </w:tcBorders>
            <w:shd w:val="clear" w:color="auto" w:fill="auto"/>
          </w:tcPr>
          <w:p w14:paraId="54761058" w14:textId="23897C68" w:rsidR="004C3487" w:rsidRDefault="00DE51D3" w:rsidP="004C3487">
            <w:pPr>
              <w:pStyle w:val="QCATableText"/>
            </w:pPr>
            <w:r>
              <w:t>May 2021</w:t>
            </w:r>
          </w:p>
        </w:tc>
        <w:tc>
          <w:tcPr>
            <w:tcW w:w="4154" w:type="pct"/>
            <w:tcBorders>
              <w:top w:val="dotted" w:sz="4" w:space="0" w:color="58595B"/>
              <w:bottom w:val="dotted" w:sz="4" w:space="0" w:color="58595B"/>
            </w:tcBorders>
            <w:shd w:val="clear" w:color="auto" w:fill="auto"/>
          </w:tcPr>
          <w:p w14:paraId="505DE2F3" w14:textId="37EC2D65" w:rsidR="004C3487" w:rsidRDefault="00DE51D3" w:rsidP="004C3487">
            <w:pPr>
              <w:pStyle w:val="QCATableText"/>
            </w:pPr>
            <w:r>
              <w:t>Aurizon Network’s 2021–22 annual reference tariff review—draft decision</w:t>
            </w:r>
          </w:p>
        </w:tc>
      </w:tr>
      <w:tr w:rsidR="004C3487" w:rsidRPr="004416CF" w14:paraId="319C0CB6" w14:textId="77777777" w:rsidTr="00FE27A8">
        <w:trPr>
          <w:cantSplit/>
        </w:trPr>
        <w:tc>
          <w:tcPr>
            <w:tcW w:w="846" w:type="pct"/>
            <w:tcBorders>
              <w:top w:val="dotted" w:sz="4" w:space="0" w:color="58595B"/>
              <w:bottom w:val="dotted" w:sz="4" w:space="0" w:color="58595B"/>
            </w:tcBorders>
            <w:shd w:val="clear" w:color="auto" w:fill="auto"/>
          </w:tcPr>
          <w:p w14:paraId="5351DA10" w14:textId="09A1A5AF" w:rsidR="004C3487" w:rsidRDefault="00DE51D3" w:rsidP="004C3487">
            <w:pPr>
              <w:pStyle w:val="QCATableText"/>
            </w:pPr>
            <w:r>
              <w:t>May 2021</w:t>
            </w:r>
          </w:p>
        </w:tc>
        <w:tc>
          <w:tcPr>
            <w:tcW w:w="4154" w:type="pct"/>
            <w:tcBorders>
              <w:top w:val="dotted" w:sz="4" w:space="0" w:color="58595B"/>
              <w:bottom w:val="dotted" w:sz="4" w:space="0" w:color="58595B"/>
            </w:tcBorders>
            <w:shd w:val="clear" w:color="auto" w:fill="auto"/>
          </w:tcPr>
          <w:p w14:paraId="06276D62" w14:textId="7285C6CF" w:rsidR="004C3487" w:rsidRDefault="00DE51D3" w:rsidP="004C3487">
            <w:pPr>
              <w:pStyle w:val="QCATableText"/>
            </w:pPr>
            <w:r>
              <w:t xml:space="preserve">Aurizon Network’s maintenance strategy and budget: 2021–22 </w:t>
            </w:r>
            <w:proofErr w:type="gramStart"/>
            <w:r>
              <w:t>Newlands</w:t>
            </w:r>
            <w:proofErr w:type="gramEnd"/>
            <w:r>
              <w:t xml:space="preserve"> system—letter and decision notice</w:t>
            </w:r>
          </w:p>
        </w:tc>
      </w:tr>
      <w:tr w:rsidR="004C3487" w:rsidRPr="004416CF" w14:paraId="3BD25501" w14:textId="77777777" w:rsidTr="00FE27A8">
        <w:trPr>
          <w:cantSplit/>
        </w:trPr>
        <w:tc>
          <w:tcPr>
            <w:tcW w:w="846" w:type="pct"/>
            <w:tcBorders>
              <w:top w:val="dotted" w:sz="4" w:space="0" w:color="58595B"/>
              <w:bottom w:val="dotted" w:sz="4" w:space="0" w:color="58595B"/>
            </w:tcBorders>
            <w:shd w:val="clear" w:color="auto" w:fill="auto"/>
          </w:tcPr>
          <w:p w14:paraId="4AA0803A" w14:textId="150A5897" w:rsidR="004C3487" w:rsidRDefault="00A47A69" w:rsidP="004C3487">
            <w:pPr>
              <w:pStyle w:val="QCATableText"/>
            </w:pPr>
            <w:r>
              <w:t>April 2021</w:t>
            </w:r>
          </w:p>
        </w:tc>
        <w:tc>
          <w:tcPr>
            <w:tcW w:w="4154" w:type="pct"/>
            <w:tcBorders>
              <w:top w:val="dotted" w:sz="4" w:space="0" w:color="58595B"/>
              <w:bottom w:val="dotted" w:sz="4" w:space="0" w:color="58595B"/>
            </w:tcBorders>
            <w:shd w:val="clear" w:color="auto" w:fill="auto"/>
          </w:tcPr>
          <w:p w14:paraId="0A64104F" w14:textId="4565ED59" w:rsidR="004C3487" w:rsidRDefault="00CF2258" w:rsidP="004C3487">
            <w:pPr>
              <w:pStyle w:val="QCATableText"/>
            </w:pPr>
            <w:r>
              <w:t>DBIM</w:t>
            </w:r>
            <w:r w:rsidR="00A47A69">
              <w:t>’s application for price ruling: the 8X expansion—stakeholder notice: extension of submission closing date</w:t>
            </w:r>
          </w:p>
        </w:tc>
      </w:tr>
      <w:tr w:rsidR="004C3487" w:rsidRPr="004416CF" w14:paraId="6341887D" w14:textId="77777777" w:rsidTr="00FE27A8">
        <w:trPr>
          <w:cantSplit/>
        </w:trPr>
        <w:tc>
          <w:tcPr>
            <w:tcW w:w="846" w:type="pct"/>
            <w:tcBorders>
              <w:top w:val="dotted" w:sz="4" w:space="0" w:color="58595B"/>
              <w:bottom w:val="dotted" w:sz="4" w:space="0" w:color="58595B"/>
            </w:tcBorders>
            <w:shd w:val="clear" w:color="auto" w:fill="auto"/>
          </w:tcPr>
          <w:p w14:paraId="0F13EAF2" w14:textId="6A6B469E" w:rsidR="004C3487" w:rsidRDefault="00A47A69" w:rsidP="004C3487">
            <w:pPr>
              <w:pStyle w:val="QCATableText"/>
            </w:pPr>
            <w:r>
              <w:t>April 2021</w:t>
            </w:r>
          </w:p>
        </w:tc>
        <w:tc>
          <w:tcPr>
            <w:tcW w:w="4154" w:type="pct"/>
            <w:tcBorders>
              <w:top w:val="dotted" w:sz="4" w:space="0" w:color="58595B"/>
              <w:bottom w:val="dotted" w:sz="4" w:space="0" w:color="58595B"/>
            </w:tcBorders>
            <w:shd w:val="clear" w:color="auto" w:fill="auto"/>
          </w:tcPr>
          <w:p w14:paraId="0A2908C1" w14:textId="7F8AE153" w:rsidR="004C3487" w:rsidRDefault="00A47A69" w:rsidP="004C3487">
            <w:pPr>
              <w:pStyle w:val="QCATableText"/>
            </w:pPr>
            <w:r>
              <w:t>Regulatory pricing principles for the water sector—final statement</w:t>
            </w:r>
          </w:p>
        </w:tc>
      </w:tr>
      <w:tr w:rsidR="004C3487" w:rsidRPr="004416CF" w14:paraId="756B9BFB" w14:textId="77777777" w:rsidTr="00FE27A8">
        <w:trPr>
          <w:cantSplit/>
        </w:trPr>
        <w:tc>
          <w:tcPr>
            <w:tcW w:w="846" w:type="pct"/>
            <w:tcBorders>
              <w:top w:val="dotted" w:sz="4" w:space="0" w:color="58595B"/>
              <w:bottom w:val="dotted" w:sz="4" w:space="0" w:color="58595B"/>
            </w:tcBorders>
            <w:shd w:val="clear" w:color="auto" w:fill="auto"/>
          </w:tcPr>
          <w:p w14:paraId="641DFBF9" w14:textId="2F1A0265" w:rsidR="004C3487" w:rsidRDefault="00A47A69" w:rsidP="004C3487">
            <w:pPr>
              <w:pStyle w:val="QCATableText"/>
            </w:pPr>
            <w:r>
              <w:t>April 2021</w:t>
            </w:r>
          </w:p>
        </w:tc>
        <w:tc>
          <w:tcPr>
            <w:tcW w:w="4154" w:type="pct"/>
            <w:tcBorders>
              <w:top w:val="dotted" w:sz="4" w:space="0" w:color="58595B"/>
              <w:bottom w:val="dotted" w:sz="4" w:space="0" w:color="58595B"/>
            </w:tcBorders>
            <w:shd w:val="clear" w:color="auto" w:fill="auto"/>
          </w:tcPr>
          <w:p w14:paraId="6D58741E" w14:textId="22B2A73C" w:rsidR="004C3487" w:rsidRDefault="00A47A69" w:rsidP="004C3487">
            <w:pPr>
              <w:pStyle w:val="QCATableText"/>
            </w:pPr>
            <w:r>
              <w:t>Aurizon Network’s RAB roll-forward 2019–20—decision</w:t>
            </w:r>
          </w:p>
        </w:tc>
      </w:tr>
      <w:tr w:rsidR="004C3487" w:rsidRPr="004416CF" w14:paraId="162110F6" w14:textId="77777777" w:rsidTr="00FE27A8">
        <w:trPr>
          <w:cantSplit/>
        </w:trPr>
        <w:tc>
          <w:tcPr>
            <w:tcW w:w="846" w:type="pct"/>
            <w:tcBorders>
              <w:top w:val="dotted" w:sz="4" w:space="0" w:color="58595B"/>
              <w:bottom w:val="dotted" w:sz="4" w:space="0" w:color="58595B"/>
            </w:tcBorders>
            <w:shd w:val="clear" w:color="auto" w:fill="auto"/>
          </w:tcPr>
          <w:p w14:paraId="567312F4" w14:textId="24B82CFA" w:rsidR="004C3487" w:rsidRDefault="00A47A69" w:rsidP="00392DE1">
            <w:pPr>
              <w:pStyle w:val="QCATableText"/>
            </w:pPr>
            <w:r>
              <w:t>April 2021</w:t>
            </w:r>
          </w:p>
        </w:tc>
        <w:tc>
          <w:tcPr>
            <w:tcW w:w="4154" w:type="pct"/>
            <w:tcBorders>
              <w:top w:val="dotted" w:sz="4" w:space="0" w:color="58595B"/>
              <w:bottom w:val="dotted" w:sz="4" w:space="0" w:color="58595B"/>
            </w:tcBorders>
            <w:shd w:val="clear" w:color="auto" w:fill="auto"/>
          </w:tcPr>
          <w:p w14:paraId="17AAFFB9" w14:textId="1E93F299" w:rsidR="004C3487" w:rsidRDefault="00A47A69" w:rsidP="0046629D">
            <w:pPr>
              <w:pStyle w:val="QCATableText"/>
            </w:pPr>
            <w:r>
              <w:t>Regulated electricity prices for regional Queensland 2021–22—workshop presentation</w:t>
            </w:r>
          </w:p>
        </w:tc>
      </w:tr>
      <w:tr w:rsidR="000F6415" w:rsidRPr="004416CF" w14:paraId="61E07FEC" w14:textId="77777777" w:rsidTr="00FE27A8">
        <w:trPr>
          <w:cantSplit/>
        </w:trPr>
        <w:tc>
          <w:tcPr>
            <w:tcW w:w="846" w:type="pct"/>
            <w:tcBorders>
              <w:top w:val="dotted" w:sz="4" w:space="0" w:color="58595B"/>
              <w:bottom w:val="dotted" w:sz="4" w:space="0" w:color="58595B"/>
            </w:tcBorders>
            <w:shd w:val="clear" w:color="auto" w:fill="auto"/>
          </w:tcPr>
          <w:p w14:paraId="5ADD6B81" w14:textId="202268EB" w:rsidR="000F6415" w:rsidRDefault="00A47A69" w:rsidP="00392DE1">
            <w:pPr>
              <w:pStyle w:val="QCATableText"/>
            </w:pPr>
            <w:r>
              <w:t>March 2021</w:t>
            </w:r>
          </w:p>
        </w:tc>
        <w:tc>
          <w:tcPr>
            <w:tcW w:w="4154" w:type="pct"/>
            <w:tcBorders>
              <w:top w:val="dotted" w:sz="4" w:space="0" w:color="58595B"/>
              <w:bottom w:val="dotted" w:sz="4" w:space="0" w:color="58595B"/>
            </w:tcBorders>
            <w:shd w:val="clear" w:color="auto" w:fill="auto"/>
          </w:tcPr>
          <w:p w14:paraId="7B721019" w14:textId="46DBFEF6" w:rsidR="000F6415" w:rsidRDefault="00A47A69" w:rsidP="0046629D">
            <w:pPr>
              <w:pStyle w:val="QCATableText"/>
            </w:pPr>
            <w:r>
              <w:t>2019 DBCT draft access undertaking—final decision</w:t>
            </w:r>
          </w:p>
        </w:tc>
      </w:tr>
      <w:tr w:rsidR="00F118CC" w:rsidRPr="004416CF" w14:paraId="6D1CAA63" w14:textId="77777777" w:rsidTr="00FE27A8">
        <w:trPr>
          <w:cantSplit/>
        </w:trPr>
        <w:tc>
          <w:tcPr>
            <w:tcW w:w="846" w:type="pct"/>
            <w:tcBorders>
              <w:top w:val="dotted" w:sz="4" w:space="0" w:color="58595B"/>
              <w:bottom w:val="dotted" w:sz="4" w:space="0" w:color="58595B"/>
            </w:tcBorders>
            <w:shd w:val="clear" w:color="auto" w:fill="auto"/>
          </w:tcPr>
          <w:p w14:paraId="7C986FDA" w14:textId="216AD334" w:rsidR="00F118CC" w:rsidRDefault="00A47A69" w:rsidP="00F118CC">
            <w:pPr>
              <w:pStyle w:val="QCATableText"/>
            </w:pPr>
            <w:r>
              <w:t>March 2021</w:t>
            </w:r>
          </w:p>
        </w:tc>
        <w:tc>
          <w:tcPr>
            <w:tcW w:w="4154" w:type="pct"/>
            <w:tcBorders>
              <w:top w:val="dotted" w:sz="4" w:space="0" w:color="58595B"/>
              <w:bottom w:val="dotted" w:sz="4" w:space="0" w:color="58595B"/>
            </w:tcBorders>
            <w:shd w:val="clear" w:color="auto" w:fill="auto"/>
          </w:tcPr>
          <w:p w14:paraId="7F07E658" w14:textId="31EE33E2" w:rsidR="00F118CC" w:rsidRPr="00A47A69" w:rsidRDefault="00A47A69" w:rsidP="00F118CC">
            <w:pPr>
              <w:pStyle w:val="QCATableText"/>
            </w:pPr>
            <w:r>
              <w:t>2019 DBCT draft access undertaking—appendix A (2019 DBCT DAU markup)</w:t>
            </w:r>
          </w:p>
        </w:tc>
      </w:tr>
      <w:tr w:rsidR="00F118CC" w:rsidRPr="004416CF" w14:paraId="4229E6C4" w14:textId="77777777" w:rsidTr="00FE27A8">
        <w:trPr>
          <w:cantSplit/>
        </w:trPr>
        <w:tc>
          <w:tcPr>
            <w:tcW w:w="846" w:type="pct"/>
            <w:tcBorders>
              <w:top w:val="dotted" w:sz="4" w:space="0" w:color="58595B"/>
              <w:bottom w:val="dotted" w:sz="4" w:space="0" w:color="58595B"/>
            </w:tcBorders>
            <w:shd w:val="clear" w:color="auto" w:fill="auto"/>
          </w:tcPr>
          <w:p w14:paraId="7FC191DF" w14:textId="599872A6" w:rsidR="00F118CC" w:rsidRDefault="00A47A69" w:rsidP="00F118CC">
            <w:pPr>
              <w:pStyle w:val="QCATableText"/>
            </w:pPr>
            <w:r>
              <w:t>March 2021</w:t>
            </w:r>
          </w:p>
        </w:tc>
        <w:tc>
          <w:tcPr>
            <w:tcW w:w="4154" w:type="pct"/>
            <w:tcBorders>
              <w:top w:val="dotted" w:sz="4" w:space="0" w:color="58595B"/>
              <w:bottom w:val="dotted" w:sz="4" w:space="0" w:color="58595B"/>
            </w:tcBorders>
            <w:shd w:val="clear" w:color="auto" w:fill="auto"/>
          </w:tcPr>
          <w:p w14:paraId="4006063B" w14:textId="662CB2D5" w:rsidR="00F118CC" w:rsidRDefault="00A47A69" w:rsidP="00F118CC">
            <w:pPr>
              <w:pStyle w:val="QCATableText"/>
            </w:pPr>
            <w:r>
              <w:t>2019 DBCT draft access undertaking—appendix B (2019 DBCT SAA markup)</w:t>
            </w:r>
          </w:p>
        </w:tc>
      </w:tr>
      <w:tr w:rsidR="00F118CC" w:rsidRPr="004416CF" w14:paraId="6FEE9C3E" w14:textId="77777777" w:rsidTr="00FE27A8">
        <w:trPr>
          <w:cantSplit/>
        </w:trPr>
        <w:tc>
          <w:tcPr>
            <w:tcW w:w="846" w:type="pct"/>
            <w:tcBorders>
              <w:top w:val="dotted" w:sz="4" w:space="0" w:color="58595B"/>
              <w:bottom w:val="dotted" w:sz="4" w:space="0" w:color="58595B"/>
            </w:tcBorders>
            <w:shd w:val="clear" w:color="auto" w:fill="auto"/>
          </w:tcPr>
          <w:p w14:paraId="5C86C52B" w14:textId="27EA8D91" w:rsidR="00F118CC" w:rsidRDefault="009338D2" w:rsidP="00F118CC">
            <w:pPr>
              <w:pStyle w:val="QCATableText"/>
            </w:pPr>
            <w:r>
              <w:t>March 2021</w:t>
            </w:r>
          </w:p>
        </w:tc>
        <w:tc>
          <w:tcPr>
            <w:tcW w:w="4154" w:type="pct"/>
            <w:tcBorders>
              <w:top w:val="dotted" w:sz="4" w:space="0" w:color="58595B"/>
              <w:bottom w:val="dotted" w:sz="4" w:space="0" w:color="58595B"/>
            </w:tcBorders>
            <w:shd w:val="clear" w:color="auto" w:fill="auto"/>
          </w:tcPr>
          <w:p w14:paraId="3946E5E7" w14:textId="355A18B7" w:rsidR="00F118CC" w:rsidRDefault="00A47A69" w:rsidP="00F118CC">
            <w:pPr>
              <w:pStyle w:val="QCATableText"/>
            </w:pPr>
            <w:r>
              <w:t>2019 DBCT draft access undertaking—arbitration guideline</w:t>
            </w:r>
          </w:p>
        </w:tc>
      </w:tr>
      <w:tr w:rsidR="00F118CC" w:rsidRPr="004416CF" w14:paraId="02CEA567" w14:textId="77777777" w:rsidTr="00FE27A8">
        <w:trPr>
          <w:cantSplit/>
        </w:trPr>
        <w:tc>
          <w:tcPr>
            <w:tcW w:w="846" w:type="pct"/>
            <w:tcBorders>
              <w:top w:val="dotted" w:sz="4" w:space="0" w:color="58595B"/>
              <w:bottom w:val="dotted" w:sz="4" w:space="0" w:color="58595B"/>
            </w:tcBorders>
            <w:shd w:val="clear" w:color="auto" w:fill="auto"/>
          </w:tcPr>
          <w:p w14:paraId="2FECE1BF" w14:textId="392620CD" w:rsidR="00F118CC" w:rsidRDefault="009338D2" w:rsidP="00F118CC">
            <w:pPr>
              <w:pStyle w:val="QCATableText"/>
            </w:pPr>
            <w:r>
              <w:t>March 2021</w:t>
            </w:r>
          </w:p>
        </w:tc>
        <w:tc>
          <w:tcPr>
            <w:tcW w:w="4154" w:type="pct"/>
            <w:tcBorders>
              <w:top w:val="dotted" w:sz="4" w:space="0" w:color="58595B"/>
              <w:bottom w:val="dotted" w:sz="4" w:space="0" w:color="58595B"/>
            </w:tcBorders>
            <w:shd w:val="clear" w:color="auto" w:fill="auto"/>
          </w:tcPr>
          <w:p w14:paraId="2D9D3388" w14:textId="102EF361" w:rsidR="00F118CC" w:rsidRDefault="00CF2258" w:rsidP="00F118CC">
            <w:pPr>
              <w:pStyle w:val="QCATableText"/>
            </w:pPr>
            <w:r>
              <w:t>DBIM</w:t>
            </w:r>
            <w:r w:rsidR="009338D2" w:rsidRPr="009338D2">
              <w:t>’s application for price ruling: the 8X expansion—</w:t>
            </w:r>
            <w:r w:rsidR="009338D2">
              <w:t xml:space="preserve">letter to </w:t>
            </w:r>
            <w:r>
              <w:t>DBIM</w:t>
            </w:r>
          </w:p>
        </w:tc>
      </w:tr>
      <w:tr w:rsidR="000F6415" w:rsidRPr="004416CF" w14:paraId="37839E16" w14:textId="77777777" w:rsidTr="00FE27A8">
        <w:trPr>
          <w:cantSplit/>
        </w:trPr>
        <w:tc>
          <w:tcPr>
            <w:tcW w:w="846" w:type="pct"/>
            <w:tcBorders>
              <w:top w:val="dotted" w:sz="4" w:space="0" w:color="58595B"/>
              <w:bottom w:val="dotted" w:sz="4" w:space="0" w:color="58595B"/>
            </w:tcBorders>
            <w:shd w:val="clear" w:color="auto" w:fill="auto"/>
          </w:tcPr>
          <w:p w14:paraId="47997A3B" w14:textId="381A7768" w:rsidR="000F6415" w:rsidRDefault="009338D2" w:rsidP="000F6415">
            <w:pPr>
              <w:pStyle w:val="QCATableText"/>
            </w:pPr>
            <w:r>
              <w:t>March 2021</w:t>
            </w:r>
          </w:p>
        </w:tc>
        <w:tc>
          <w:tcPr>
            <w:tcW w:w="4154" w:type="pct"/>
            <w:tcBorders>
              <w:top w:val="dotted" w:sz="4" w:space="0" w:color="58595B"/>
              <w:bottom w:val="dotted" w:sz="4" w:space="0" w:color="58595B"/>
            </w:tcBorders>
            <w:shd w:val="clear" w:color="auto" w:fill="auto"/>
          </w:tcPr>
          <w:p w14:paraId="65F307EB" w14:textId="2C15FFB0" w:rsidR="000F6415" w:rsidRDefault="00CF2258" w:rsidP="000F6415">
            <w:pPr>
              <w:pStyle w:val="QCATableText"/>
            </w:pPr>
            <w:r>
              <w:t>DBIM</w:t>
            </w:r>
            <w:r w:rsidR="009338D2" w:rsidRPr="009338D2">
              <w:t>’s application for price ruling: the 8X expansion—notice of investigation</w:t>
            </w:r>
          </w:p>
        </w:tc>
      </w:tr>
      <w:tr w:rsidR="000F6415" w:rsidRPr="004416CF" w14:paraId="58BF4DB9" w14:textId="77777777" w:rsidTr="00FE27A8">
        <w:trPr>
          <w:cantSplit/>
        </w:trPr>
        <w:tc>
          <w:tcPr>
            <w:tcW w:w="846" w:type="pct"/>
            <w:tcBorders>
              <w:top w:val="dotted" w:sz="4" w:space="0" w:color="58595B"/>
              <w:bottom w:val="dotted" w:sz="4" w:space="0" w:color="58595B"/>
            </w:tcBorders>
            <w:shd w:val="clear" w:color="auto" w:fill="auto"/>
          </w:tcPr>
          <w:p w14:paraId="4F54720E" w14:textId="35C155D9" w:rsidR="000F6415" w:rsidRDefault="00DC5E5B" w:rsidP="00392DE1">
            <w:pPr>
              <w:pStyle w:val="QCATableText"/>
            </w:pPr>
            <w:r>
              <w:t>March 2021</w:t>
            </w:r>
          </w:p>
        </w:tc>
        <w:tc>
          <w:tcPr>
            <w:tcW w:w="4154" w:type="pct"/>
            <w:tcBorders>
              <w:top w:val="dotted" w:sz="4" w:space="0" w:color="58595B"/>
              <w:bottom w:val="dotted" w:sz="4" w:space="0" w:color="58595B"/>
            </w:tcBorders>
            <w:shd w:val="clear" w:color="auto" w:fill="auto"/>
          </w:tcPr>
          <w:p w14:paraId="75A86889" w14:textId="43EB5028" w:rsidR="000F6415" w:rsidRDefault="00DC5E5B" w:rsidP="0046629D">
            <w:pPr>
              <w:pStyle w:val="QCATableText"/>
            </w:pPr>
            <w:r w:rsidRPr="00DC5E5B">
              <w:t>Regulated electricity prices for regional Queensland 2021–22—</w:t>
            </w:r>
            <w:r>
              <w:t>draft determination</w:t>
            </w:r>
          </w:p>
        </w:tc>
      </w:tr>
      <w:tr w:rsidR="000F6415" w:rsidRPr="004416CF" w14:paraId="29F45746" w14:textId="77777777" w:rsidTr="00FE27A8">
        <w:trPr>
          <w:cantSplit/>
        </w:trPr>
        <w:tc>
          <w:tcPr>
            <w:tcW w:w="846" w:type="pct"/>
            <w:tcBorders>
              <w:top w:val="dotted" w:sz="4" w:space="0" w:color="58595B"/>
              <w:bottom w:val="dotted" w:sz="4" w:space="0" w:color="58595B"/>
            </w:tcBorders>
            <w:shd w:val="clear" w:color="auto" w:fill="auto"/>
          </w:tcPr>
          <w:p w14:paraId="3E159916" w14:textId="7FA7E310" w:rsidR="000F6415" w:rsidRDefault="00DC5E5B" w:rsidP="00392DE1">
            <w:pPr>
              <w:pStyle w:val="QCATableText"/>
            </w:pPr>
            <w:r>
              <w:t>March 2021</w:t>
            </w:r>
          </w:p>
        </w:tc>
        <w:tc>
          <w:tcPr>
            <w:tcW w:w="4154" w:type="pct"/>
            <w:tcBorders>
              <w:top w:val="dotted" w:sz="4" w:space="0" w:color="58595B"/>
              <w:bottom w:val="dotted" w:sz="4" w:space="0" w:color="58595B"/>
            </w:tcBorders>
            <w:shd w:val="clear" w:color="auto" w:fill="auto"/>
          </w:tcPr>
          <w:p w14:paraId="5D9EA387" w14:textId="5359D3A2" w:rsidR="000F6415" w:rsidRDefault="00DC5E5B" w:rsidP="0046629D">
            <w:pPr>
              <w:pStyle w:val="QCATableText"/>
            </w:pPr>
            <w:r w:rsidRPr="00DC5E5B">
              <w:t>Regulated electricity prices for regional Queensland 2021–22—</w:t>
            </w:r>
            <w:r>
              <w:t>technical appendices</w:t>
            </w:r>
          </w:p>
        </w:tc>
      </w:tr>
      <w:tr w:rsidR="000F6415" w:rsidRPr="004416CF" w14:paraId="1BD0E5D6" w14:textId="77777777" w:rsidTr="00FE27A8">
        <w:trPr>
          <w:cantSplit/>
        </w:trPr>
        <w:tc>
          <w:tcPr>
            <w:tcW w:w="846" w:type="pct"/>
            <w:tcBorders>
              <w:top w:val="dotted" w:sz="4" w:space="0" w:color="58595B"/>
              <w:bottom w:val="dotted" w:sz="4" w:space="0" w:color="58595B"/>
            </w:tcBorders>
            <w:shd w:val="clear" w:color="auto" w:fill="auto"/>
          </w:tcPr>
          <w:p w14:paraId="1DC4DB1E" w14:textId="6D2204F7" w:rsidR="000F6415" w:rsidRDefault="00DC5E5B" w:rsidP="00392DE1">
            <w:pPr>
              <w:pStyle w:val="QCATableText"/>
            </w:pPr>
            <w:r>
              <w:t>March 2021</w:t>
            </w:r>
          </w:p>
        </w:tc>
        <w:tc>
          <w:tcPr>
            <w:tcW w:w="4154" w:type="pct"/>
            <w:tcBorders>
              <w:top w:val="dotted" w:sz="4" w:space="0" w:color="58595B"/>
              <w:bottom w:val="dotted" w:sz="4" w:space="0" w:color="58595B"/>
            </w:tcBorders>
            <w:shd w:val="clear" w:color="auto" w:fill="auto"/>
          </w:tcPr>
          <w:p w14:paraId="2416DAB4" w14:textId="6AFDA534" w:rsidR="000F6415" w:rsidRDefault="00DC5E5B" w:rsidP="0046629D">
            <w:pPr>
              <w:pStyle w:val="QCATableText"/>
            </w:pPr>
            <w:r w:rsidRPr="00DC5E5B">
              <w:t>Regulated electricity prices for regional Queensland 2021–22—</w:t>
            </w:r>
            <w:r>
              <w:t>information booklet</w:t>
            </w:r>
          </w:p>
        </w:tc>
      </w:tr>
      <w:tr w:rsidR="000F6415" w:rsidRPr="004416CF" w14:paraId="5B1228CB" w14:textId="77777777" w:rsidTr="00FE27A8">
        <w:trPr>
          <w:cantSplit/>
        </w:trPr>
        <w:tc>
          <w:tcPr>
            <w:tcW w:w="846" w:type="pct"/>
            <w:tcBorders>
              <w:top w:val="dotted" w:sz="4" w:space="0" w:color="58595B"/>
              <w:bottom w:val="dotted" w:sz="4" w:space="0" w:color="58595B"/>
            </w:tcBorders>
            <w:shd w:val="clear" w:color="auto" w:fill="auto"/>
          </w:tcPr>
          <w:p w14:paraId="380E104B" w14:textId="01B1F748" w:rsidR="000F6415" w:rsidRDefault="00DC5E5B" w:rsidP="00392DE1">
            <w:pPr>
              <w:pStyle w:val="QCATableText"/>
            </w:pPr>
            <w:r>
              <w:t>March 2021</w:t>
            </w:r>
          </w:p>
        </w:tc>
        <w:tc>
          <w:tcPr>
            <w:tcW w:w="4154" w:type="pct"/>
            <w:tcBorders>
              <w:top w:val="dotted" w:sz="4" w:space="0" w:color="58595B"/>
              <w:bottom w:val="dotted" w:sz="4" w:space="0" w:color="58595B"/>
            </w:tcBorders>
            <w:shd w:val="clear" w:color="auto" w:fill="auto"/>
          </w:tcPr>
          <w:p w14:paraId="0E93E703" w14:textId="4904CDBC" w:rsidR="000F6415" w:rsidRDefault="00DC5E5B" w:rsidP="0046629D">
            <w:pPr>
              <w:pStyle w:val="QCATableText"/>
            </w:pPr>
            <w:r w:rsidRPr="00DC5E5B">
              <w:t>Regulated electricity prices for regional Queensland 2021–22—</w:t>
            </w:r>
            <w:r>
              <w:t>stakeholder notice</w:t>
            </w:r>
          </w:p>
        </w:tc>
      </w:tr>
      <w:tr w:rsidR="004C3487" w:rsidRPr="004416CF" w14:paraId="02D55921" w14:textId="77777777" w:rsidTr="00FE27A8">
        <w:trPr>
          <w:cantSplit/>
        </w:trPr>
        <w:tc>
          <w:tcPr>
            <w:tcW w:w="846" w:type="pct"/>
            <w:tcBorders>
              <w:top w:val="dotted" w:sz="4" w:space="0" w:color="58595B"/>
              <w:bottom w:val="dotted" w:sz="4" w:space="0" w:color="58595B"/>
            </w:tcBorders>
            <w:shd w:val="clear" w:color="auto" w:fill="auto"/>
          </w:tcPr>
          <w:p w14:paraId="339C505C" w14:textId="718C1CBF" w:rsidR="004C3487" w:rsidRDefault="00DC5E5B" w:rsidP="00392DE1">
            <w:pPr>
              <w:pStyle w:val="QCATableText"/>
            </w:pPr>
            <w:r>
              <w:t>March 2021</w:t>
            </w:r>
          </w:p>
        </w:tc>
        <w:tc>
          <w:tcPr>
            <w:tcW w:w="4154" w:type="pct"/>
            <w:tcBorders>
              <w:top w:val="dotted" w:sz="4" w:space="0" w:color="58595B"/>
              <w:bottom w:val="dotted" w:sz="4" w:space="0" w:color="58595B"/>
            </w:tcBorders>
            <w:shd w:val="clear" w:color="auto" w:fill="auto"/>
          </w:tcPr>
          <w:p w14:paraId="0EC3A674" w14:textId="7C79ACFA" w:rsidR="004C3487" w:rsidRDefault="00DC5E5B" w:rsidP="0046629D">
            <w:pPr>
              <w:pStyle w:val="QCATableText"/>
            </w:pPr>
            <w:r>
              <w:t>Regulated electricity prices for regional Queensland 2021–22—media release</w:t>
            </w:r>
          </w:p>
        </w:tc>
      </w:tr>
      <w:tr w:rsidR="004C3487" w:rsidRPr="004416CF" w14:paraId="1B675EA0" w14:textId="77777777" w:rsidTr="00FE27A8">
        <w:trPr>
          <w:cantSplit/>
        </w:trPr>
        <w:tc>
          <w:tcPr>
            <w:tcW w:w="846" w:type="pct"/>
            <w:tcBorders>
              <w:top w:val="dotted" w:sz="4" w:space="0" w:color="58595B"/>
              <w:bottom w:val="dotted" w:sz="4" w:space="0" w:color="58595B"/>
            </w:tcBorders>
            <w:shd w:val="clear" w:color="auto" w:fill="auto"/>
          </w:tcPr>
          <w:p w14:paraId="49975926" w14:textId="1F6D7A81" w:rsidR="004C3487" w:rsidRDefault="00DC5E5B" w:rsidP="00DC5E5B">
            <w:pPr>
              <w:pStyle w:val="QCATableText"/>
            </w:pPr>
            <w:r>
              <w:t>March 2021</w:t>
            </w:r>
          </w:p>
        </w:tc>
        <w:tc>
          <w:tcPr>
            <w:tcW w:w="4154" w:type="pct"/>
            <w:tcBorders>
              <w:top w:val="dotted" w:sz="4" w:space="0" w:color="58595B"/>
              <w:bottom w:val="dotted" w:sz="4" w:space="0" w:color="58595B"/>
            </w:tcBorders>
            <w:shd w:val="clear" w:color="auto" w:fill="auto"/>
          </w:tcPr>
          <w:p w14:paraId="4E43D5A1" w14:textId="2E7C1925" w:rsidR="004C3487" w:rsidRDefault="00DC5E5B" w:rsidP="00DC5E5B">
            <w:pPr>
              <w:pStyle w:val="QCATableText"/>
            </w:pPr>
            <w:r w:rsidRPr="00DC5E5B">
              <w:t>Energy enforcement action: AGL late payment fees (2020)—media release</w:t>
            </w:r>
          </w:p>
        </w:tc>
      </w:tr>
      <w:tr w:rsidR="004C3487" w:rsidRPr="004416CF" w14:paraId="67E87734" w14:textId="77777777" w:rsidTr="00FE27A8">
        <w:trPr>
          <w:cantSplit/>
        </w:trPr>
        <w:tc>
          <w:tcPr>
            <w:tcW w:w="846" w:type="pct"/>
            <w:tcBorders>
              <w:top w:val="dotted" w:sz="4" w:space="0" w:color="58595B"/>
              <w:bottom w:val="dotted" w:sz="4" w:space="0" w:color="58595B"/>
            </w:tcBorders>
            <w:shd w:val="clear" w:color="auto" w:fill="auto"/>
          </w:tcPr>
          <w:p w14:paraId="522EF75C" w14:textId="69FACFC1" w:rsidR="004C3487" w:rsidRDefault="006F541E" w:rsidP="00392DE1">
            <w:pPr>
              <w:pStyle w:val="QCATableText"/>
            </w:pPr>
            <w:r>
              <w:t>March 2021</w:t>
            </w:r>
          </w:p>
        </w:tc>
        <w:tc>
          <w:tcPr>
            <w:tcW w:w="4154" w:type="pct"/>
            <w:tcBorders>
              <w:top w:val="dotted" w:sz="4" w:space="0" w:color="58595B"/>
              <w:bottom w:val="dotted" w:sz="4" w:space="0" w:color="58595B"/>
            </w:tcBorders>
            <w:shd w:val="clear" w:color="auto" w:fill="auto"/>
          </w:tcPr>
          <w:p w14:paraId="6ED4770F" w14:textId="482A08FB" w:rsidR="004C3487" w:rsidRDefault="006F541E" w:rsidP="0046629D">
            <w:pPr>
              <w:pStyle w:val="QCATableText"/>
            </w:pPr>
            <w:r>
              <w:t>Inflation forecasting review 2021—issues paper</w:t>
            </w:r>
          </w:p>
        </w:tc>
      </w:tr>
      <w:tr w:rsidR="0046629D" w:rsidRPr="004416CF" w14:paraId="626749DA" w14:textId="77777777" w:rsidTr="00FE27A8">
        <w:trPr>
          <w:cantSplit/>
        </w:trPr>
        <w:tc>
          <w:tcPr>
            <w:tcW w:w="846" w:type="pct"/>
            <w:tcBorders>
              <w:top w:val="dotted" w:sz="4" w:space="0" w:color="58595B"/>
              <w:bottom w:val="dotted" w:sz="4" w:space="0" w:color="58595B"/>
            </w:tcBorders>
            <w:shd w:val="clear" w:color="auto" w:fill="auto"/>
          </w:tcPr>
          <w:p w14:paraId="1890A21C" w14:textId="4A272413" w:rsidR="0046629D" w:rsidRDefault="006F541E" w:rsidP="00392DE1">
            <w:pPr>
              <w:pStyle w:val="QCATableText"/>
            </w:pPr>
            <w:r>
              <w:t>March 2021</w:t>
            </w:r>
          </w:p>
        </w:tc>
        <w:tc>
          <w:tcPr>
            <w:tcW w:w="4154" w:type="pct"/>
            <w:tcBorders>
              <w:top w:val="dotted" w:sz="4" w:space="0" w:color="58595B"/>
              <w:bottom w:val="dotted" w:sz="4" w:space="0" w:color="58595B"/>
            </w:tcBorders>
            <w:shd w:val="clear" w:color="auto" w:fill="auto"/>
          </w:tcPr>
          <w:p w14:paraId="7FA7C616" w14:textId="795D3748" w:rsidR="0046629D" w:rsidDel="00452237" w:rsidRDefault="006F541E" w:rsidP="00392DE1">
            <w:pPr>
              <w:pStyle w:val="QCATableText"/>
            </w:pPr>
            <w:r>
              <w:t>Aurizon Network’s 2020–21 adjustment charges—approval letter</w:t>
            </w:r>
          </w:p>
        </w:tc>
      </w:tr>
      <w:tr w:rsidR="00E06245" w:rsidRPr="004416CF" w14:paraId="631EB7AC" w14:textId="77777777" w:rsidTr="00FE27A8">
        <w:trPr>
          <w:cantSplit/>
        </w:trPr>
        <w:tc>
          <w:tcPr>
            <w:tcW w:w="846" w:type="pct"/>
            <w:tcBorders>
              <w:top w:val="dotted" w:sz="4" w:space="0" w:color="58595B"/>
              <w:bottom w:val="dotted" w:sz="4" w:space="0" w:color="58595B"/>
            </w:tcBorders>
            <w:shd w:val="clear" w:color="auto" w:fill="auto"/>
          </w:tcPr>
          <w:p w14:paraId="0264C9C0" w14:textId="4226374C" w:rsidR="00E06245" w:rsidRPr="004416CF" w:rsidRDefault="006F541E" w:rsidP="00392DE1">
            <w:pPr>
              <w:pStyle w:val="QCATableText"/>
            </w:pPr>
            <w:r>
              <w:t>March 2021</w:t>
            </w:r>
          </w:p>
        </w:tc>
        <w:tc>
          <w:tcPr>
            <w:tcW w:w="4154" w:type="pct"/>
            <w:tcBorders>
              <w:top w:val="dotted" w:sz="4" w:space="0" w:color="58595B"/>
              <w:bottom w:val="dotted" w:sz="4" w:space="0" w:color="58595B"/>
            </w:tcBorders>
            <w:shd w:val="clear" w:color="auto" w:fill="auto"/>
          </w:tcPr>
          <w:p w14:paraId="6F9C881D" w14:textId="4C6959D0" w:rsidR="00E06245" w:rsidRDefault="006F541E" w:rsidP="00C9575C">
            <w:pPr>
              <w:pStyle w:val="QCATableText"/>
            </w:pPr>
            <w:r>
              <w:t>Queensland Rail’s 2019–20 capital expenditure claim—stakeholder notice 1</w:t>
            </w:r>
          </w:p>
        </w:tc>
      </w:tr>
      <w:tr w:rsidR="00E47C5F" w:rsidRPr="004416CF" w14:paraId="2A394C67" w14:textId="77777777" w:rsidTr="00542A8D">
        <w:trPr>
          <w:cantSplit/>
        </w:trPr>
        <w:tc>
          <w:tcPr>
            <w:tcW w:w="846" w:type="pct"/>
            <w:tcBorders>
              <w:top w:val="dotted" w:sz="4" w:space="0" w:color="58595B"/>
              <w:bottom w:val="dotted" w:sz="4" w:space="0" w:color="58595B"/>
            </w:tcBorders>
            <w:shd w:val="clear" w:color="auto" w:fill="auto"/>
          </w:tcPr>
          <w:p w14:paraId="4BE5915C" w14:textId="3821D119" w:rsidR="00E47C5F" w:rsidRDefault="006F541E" w:rsidP="00392DE1">
            <w:pPr>
              <w:pStyle w:val="QCATableText"/>
            </w:pPr>
            <w:r>
              <w:t>February 2021</w:t>
            </w:r>
          </w:p>
        </w:tc>
        <w:tc>
          <w:tcPr>
            <w:tcW w:w="4154" w:type="pct"/>
            <w:tcBorders>
              <w:top w:val="dotted" w:sz="4" w:space="0" w:color="58595B"/>
              <w:bottom w:val="dotted" w:sz="4" w:space="0" w:color="58595B"/>
            </w:tcBorders>
            <w:shd w:val="clear" w:color="auto" w:fill="auto"/>
          </w:tcPr>
          <w:p w14:paraId="41065009" w14:textId="21F362D0" w:rsidR="00E47C5F" w:rsidRDefault="006F541E" w:rsidP="00E800A0">
            <w:pPr>
              <w:pStyle w:val="QCATableText"/>
            </w:pPr>
            <w:r>
              <w:t>Aurizon Network’s 2019–20 capital expenditure claim—final decision notice</w:t>
            </w:r>
          </w:p>
        </w:tc>
      </w:tr>
      <w:tr w:rsidR="00C36E07" w:rsidRPr="004416CF" w14:paraId="1789954D" w14:textId="77777777" w:rsidTr="00542A8D">
        <w:trPr>
          <w:cantSplit/>
        </w:trPr>
        <w:tc>
          <w:tcPr>
            <w:tcW w:w="846" w:type="pct"/>
            <w:tcBorders>
              <w:top w:val="dotted" w:sz="4" w:space="0" w:color="58595B"/>
              <w:bottom w:val="dotted" w:sz="4" w:space="0" w:color="58595B"/>
            </w:tcBorders>
            <w:shd w:val="clear" w:color="auto" w:fill="auto"/>
          </w:tcPr>
          <w:p w14:paraId="17E88269" w14:textId="513937D3" w:rsidR="00C36E07" w:rsidRDefault="00A415DB" w:rsidP="00392DE1">
            <w:pPr>
              <w:pStyle w:val="QCATableText"/>
            </w:pPr>
            <w:r>
              <w:t>February 2021</w:t>
            </w:r>
          </w:p>
        </w:tc>
        <w:tc>
          <w:tcPr>
            <w:tcW w:w="4154" w:type="pct"/>
            <w:tcBorders>
              <w:top w:val="dotted" w:sz="4" w:space="0" w:color="58595B"/>
              <w:bottom w:val="dotted" w:sz="4" w:space="0" w:color="58595B"/>
            </w:tcBorders>
            <w:shd w:val="clear" w:color="auto" w:fill="auto"/>
          </w:tcPr>
          <w:p w14:paraId="4DDFA353" w14:textId="7749D742" w:rsidR="00C36E07" w:rsidDel="00452237" w:rsidRDefault="00A415DB" w:rsidP="00E800A0">
            <w:pPr>
              <w:pStyle w:val="QCATableText"/>
            </w:pPr>
            <w:r>
              <w:t>2019 DBCT draft access undertaking—notice on timing for final decision</w:t>
            </w:r>
          </w:p>
        </w:tc>
      </w:tr>
      <w:tr w:rsidR="004A6AD5" w:rsidRPr="004416CF" w14:paraId="5838EA5B" w14:textId="77777777" w:rsidTr="00DE3783">
        <w:trPr>
          <w:cantSplit/>
          <w:trHeight w:hRule="exact" w:val="340"/>
        </w:trPr>
        <w:tc>
          <w:tcPr>
            <w:tcW w:w="846" w:type="pct"/>
            <w:tcBorders>
              <w:top w:val="dotted" w:sz="4" w:space="0" w:color="58595B"/>
              <w:bottom w:val="dotted" w:sz="4" w:space="0" w:color="58595B"/>
            </w:tcBorders>
            <w:shd w:val="clear" w:color="auto" w:fill="auto"/>
          </w:tcPr>
          <w:p w14:paraId="5D292B96" w14:textId="3E107D97" w:rsidR="004A6AD5" w:rsidRDefault="00E934B0" w:rsidP="00392DE1">
            <w:pPr>
              <w:pStyle w:val="QCATableText"/>
            </w:pPr>
            <w:r>
              <w:lastRenderedPageBreak/>
              <w:t>January 2021</w:t>
            </w:r>
          </w:p>
        </w:tc>
        <w:tc>
          <w:tcPr>
            <w:tcW w:w="4154" w:type="pct"/>
            <w:tcBorders>
              <w:top w:val="dotted" w:sz="4" w:space="0" w:color="58595B"/>
              <w:bottom w:val="dotted" w:sz="4" w:space="0" w:color="58595B"/>
            </w:tcBorders>
            <w:shd w:val="clear" w:color="auto" w:fill="auto"/>
          </w:tcPr>
          <w:p w14:paraId="0F7A0C5C" w14:textId="70BD52B3" w:rsidR="004A6AD5" w:rsidRDefault="00E934B0" w:rsidP="00E800A0">
            <w:pPr>
              <w:pStyle w:val="QCATableText"/>
            </w:pPr>
            <w:r>
              <w:t>Regulated electricity prices for regional Queensland 2021–22—interim consultation paper</w:t>
            </w:r>
          </w:p>
        </w:tc>
      </w:tr>
      <w:tr w:rsidR="00C36E07" w:rsidRPr="004416CF" w14:paraId="14E4E455" w14:textId="77777777" w:rsidTr="00542A8D">
        <w:trPr>
          <w:cantSplit/>
        </w:trPr>
        <w:tc>
          <w:tcPr>
            <w:tcW w:w="846" w:type="pct"/>
            <w:tcBorders>
              <w:top w:val="dotted" w:sz="4" w:space="0" w:color="58595B"/>
              <w:bottom w:val="dotted" w:sz="4" w:space="0" w:color="58595B"/>
            </w:tcBorders>
            <w:shd w:val="clear" w:color="auto" w:fill="auto"/>
          </w:tcPr>
          <w:p w14:paraId="5BF52FF3" w14:textId="1D75756B" w:rsidR="00C36E07" w:rsidRDefault="00E934B0" w:rsidP="00392DE1">
            <w:pPr>
              <w:pStyle w:val="QCATableText"/>
            </w:pPr>
            <w:r>
              <w:t>January 2021</w:t>
            </w:r>
          </w:p>
        </w:tc>
        <w:tc>
          <w:tcPr>
            <w:tcW w:w="4154" w:type="pct"/>
            <w:tcBorders>
              <w:top w:val="dotted" w:sz="4" w:space="0" w:color="58595B"/>
              <w:bottom w:val="dotted" w:sz="4" w:space="0" w:color="58595B"/>
            </w:tcBorders>
            <w:shd w:val="clear" w:color="auto" w:fill="auto"/>
          </w:tcPr>
          <w:p w14:paraId="683D5B4F" w14:textId="3D01BAF1" w:rsidR="00C36E07" w:rsidDel="00452237" w:rsidRDefault="00E934B0" w:rsidP="00E800A0">
            <w:pPr>
              <w:pStyle w:val="QCATableText"/>
            </w:pPr>
            <w:r>
              <w:t>Regulated electricity prices for regional Queensland 2021–22—information booklet</w:t>
            </w:r>
          </w:p>
        </w:tc>
      </w:tr>
      <w:tr w:rsidR="00E47C5F" w:rsidRPr="004416CF" w14:paraId="3157E83B" w14:textId="77777777" w:rsidTr="00731D6C">
        <w:trPr>
          <w:cantSplit/>
        </w:trPr>
        <w:tc>
          <w:tcPr>
            <w:tcW w:w="846" w:type="pct"/>
            <w:tcBorders>
              <w:top w:val="dotted" w:sz="4" w:space="0" w:color="58595B"/>
              <w:bottom w:val="nil"/>
            </w:tcBorders>
            <w:shd w:val="clear" w:color="auto" w:fill="auto"/>
          </w:tcPr>
          <w:p w14:paraId="15B63F39" w14:textId="51AD3DED" w:rsidR="00E47C5F" w:rsidRDefault="00E934B0" w:rsidP="00392DE1">
            <w:pPr>
              <w:pStyle w:val="QCATableText"/>
            </w:pPr>
            <w:r>
              <w:t>January 2021</w:t>
            </w:r>
          </w:p>
        </w:tc>
        <w:tc>
          <w:tcPr>
            <w:tcW w:w="4154" w:type="pct"/>
            <w:tcBorders>
              <w:top w:val="dotted" w:sz="4" w:space="0" w:color="58595B"/>
              <w:bottom w:val="nil"/>
            </w:tcBorders>
            <w:shd w:val="clear" w:color="auto" w:fill="auto"/>
          </w:tcPr>
          <w:p w14:paraId="0BA418CB" w14:textId="29A7285D" w:rsidR="00E47C5F" w:rsidRDefault="00E934B0" w:rsidP="00B5658A">
            <w:pPr>
              <w:pStyle w:val="QCATableText"/>
            </w:pPr>
            <w:r>
              <w:t>Regulated electricity prices for regional Queensland 2021–22—stakeholder notice</w:t>
            </w:r>
          </w:p>
        </w:tc>
      </w:tr>
      <w:tr w:rsidR="00392DE1" w:rsidRPr="004416CF" w14:paraId="1C833C45" w14:textId="77777777" w:rsidTr="00731D6C">
        <w:trPr>
          <w:cantSplit/>
        </w:trPr>
        <w:tc>
          <w:tcPr>
            <w:tcW w:w="5000" w:type="pct"/>
            <w:gridSpan w:val="2"/>
            <w:tcBorders>
              <w:top w:val="nil"/>
              <w:bottom w:val="single" w:sz="4" w:space="0" w:color="auto"/>
            </w:tcBorders>
            <w:shd w:val="clear" w:color="auto" w:fill="F2F2F2"/>
            <w:hideMark/>
          </w:tcPr>
          <w:p w14:paraId="7E5BA2D8" w14:textId="3E0E4895" w:rsidR="00392DE1" w:rsidRPr="004416CF" w:rsidRDefault="00BC72CD" w:rsidP="00D8391C">
            <w:pPr>
              <w:pStyle w:val="QCATableHeading2"/>
            </w:pPr>
            <w:r>
              <w:t>20</w:t>
            </w:r>
            <w:r w:rsidR="00D506AC">
              <w:t>20</w:t>
            </w:r>
          </w:p>
        </w:tc>
      </w:tr>
      <w:tr w:rsidR="006C52B8" w:rsidRPr="004416CF" w14:paraId="54EC8F0E" w14:textId="77777777" w:rsidTr="00FE27A8">
        <w:trPr>
          <w:cantSplit/>
        </w:trPr>
        <w:tc>
          <w:tcPr>
            <w:tcW w:w="846" w:type="pct"/>
            <w:tcBorders>
              <w:top w:val="dotted" w:sz="4" w:space="0" w:color="58595B"/>
              <w:bottom w:val="dotted" w:sz="4" w:space="0" w:color="58595B"/>
            </w:tcBorders>
            <w:shd w:val="clear" w:color="auto" w:fill="auto"/>
          </w:tcPr>
          <w:p w14:paraId="0B5C6E66" w14:textId="3DBECC1A"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7403E81D" w14:textId="2780F795" w:rsidR="006C52B8" w:rsidRDefault="006C52B8" w:rsidP="006C52B8">
            <w:pPr>
              <w:pStyle w:val="QCATableText"/>
            </w:pPr>
            <w:r w:rsidRPr="00732AA1">
              <w:t>SEQ retail electricity market monitoring 2019–20: annual report</w:t>
            </w:r>
            <w:r>
              <w:t>—main report</w:t>
            </w:r>
          </w:p>
        </w:tc>
      </w:tr>
      <w:tr w:rsidR="006C52B8" w:rsidRPr="004416CF" w14:paraId="021093E4" w14:textId="77777777" w:rsidTr="00FE27A8">
        <w:trPr>
          <w:cantSplit/>
        </w:trPr>
        <w:tc>
          <w:tcPr>
            <w:tcW w:w="846" w:type="pct"/>
            <w:tcBorders>
              <w:top w:val="dotted" w:sz="4" w:space="0" w:color="58595B"/>
              <w:bottom w:val="dotted" w:sz="4" w:space="0" w:color="58595B"/>
            </w:tcBorders>
            <w:shd w:val="clear" w:color="auto" w:fill="auto"/>
          </w:tcPr>
          <w:p w14:paraId="2B87AF91" w14:textId="65A3DE6E"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0F671EAD" w14:textId="76110C2E" w:rsidR="006C52B8" w:rsidRDefault="006C52B8" w:rsidP="006C52B8">
            <w:pPr>
              <w:pStyle w:val="QCATableText"/>
            </w:pPr>
            <w:r w:rsidRPr="00732AA1">
              <w:t>SEQ retail electricity market monitoring 2019–20: annual report</w:t>
            </w:r>
            <w:r>
              <w:t>—appendices</w:t>
            </w:r>
          </w:p>
        </w:tc>
      </w:tr>
      <w:tr w:rsidR="006C52B8" w:rsidRPr="004416CF" w14:paraId="1A8F0F00" w14:textId="77777777" w:rsidTr="00FE27A8">
        <w:trPr>
          <w:cantSplit/>
        </w:trPr>
        <w:tc>
          <w:tcPr>
            <w:tcW w:w="846" w:type="pct"/>
            <w:tcBorders>
              <w:top w:val="dotted" w:sz="4" w:space="0" w:color="58595B"/>
              <w:bottom w:val="dotted" w:sz="4" w:space="0" w:color="58595B"/>
            </w:tcBorders>
            <w:shd w:val="clear" w:color="auto" w:fill="auto"/>
          </w:tcPr>
          <w:p w14:paraId="01885B70" w14:textId="54CEAEF9"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672892A7" w14:textId="59C71117" w:rsidR="006C52B8" w:rsidRDefault="006C52B8" w:rsidP="006C52B8">
            <w:pPr>
              <w:pStyle w:val="QCATableText"/>
            </w:pPr>
            <w:r w:rsidRPr="00732AA1">
              <w:t>SEQ retail electricity market monitoring 2019–20: annual report</w:t>
            </w:r>
            <w:r>
              <w:t>—media release</w:t>
            </w:r>
          </w:p>
        </w:tc>
      </w:tr>
      <w:tr w:rsidR="006C52B8" w:rsidRPr="004416CF" w14:paraId="46727338" w14:textId="77777777" w:rsidTr="00FE27A8">
        <w:trPr>
          <w:cantSplit/>
        </w:trPr>
        <w:tc>
          <w:tcPr>
            <w:tcW w:w="846" w:type="pct"/>
            <w:tcBorders>
              <w:top w:val="dotted" w:sz="4" w:space="0" w:color="58595B"/>
              <w:bottom w:val="dotted" w:sz="4" w:space="0" w:color="58595B"/>
            </w:tcBorders>
            <w:shd w:val="clear" w:color="auto" w:fill="auto"/>
          </w:tcPr>
          <w:p w14:paraId="02EC03A4" w14:textId="39B3B636" w:rsidR="006C52B8" w:rsidRPr="004416CF"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33545CA2" w14:textId="66A4D09F" w:rsidR="006C52B8" w:rsidRDefault="006C52B8" w:rsidP="006C52B8">
            <w:pPr>
              <w:pStyle w:val="QCATableText"/>
            </w:pPr>
            <w:r w:rsidRPr="00732AA1">
              <w:t>SEQ retail electricity market monitoring 2019–20: annual report</w:t>
            </w:r>
            <w:r>
              <w:t>—fact sheet (residential offers)</w:t>
            </w:r>
          </w:p>
        </w:tc>
      </w:tr>
      <w:tr w:rsidR="006C52B8" w:rsidRPr="004416CF" w14:paraId="534DBA8D" w14:textId="77777777" w:rsidTr="00FE27A8">
        <w:trPr>
          <w:cantSplit/>
        </w:trPr>
        <w:tc>
          <w:tcPr>
            <w:tcW w:w="846" w:type="pct"/>
            <w:tcBorders>
              <w:top w:val="dotted" w:sz="4" w:space="0" w:color="58595B"/>
              <w:bottom w:val="dotted" w:sz="4" w:space="0" w:color="58595B"/>
            </w:tcBorders>
            <w:shd w:val="clear" w:color="auto" w:fill="auto"/>
          </w:tcPr>
          <w:p w14:paraId="2FBAF6F3" w14:textId="47D3972B" w:rsidR="006C52B8" w:rsidRPr="004416CF"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32A08652" w14:textId="6B24F230" w:rsidR="006C52B8" w:rsidRDefault="006C52B8" w:rsidP="006C52B8">
            <w:pPr>
              <w:pStyle w:val="QCATableText"/>
            </w:pPr>
            <w:r w:rsidRPr="00732AA1">
              <w:t>SEQ retail electricity market monitoring 2019–20: annual report</w:t>
            </w:r>
            <w:r>
              <w:t>—fact sheet (small business offers)</w:t>
            </w:r>
          </w:p>
        </w:tc>
      </w:tr>
      <w:tr w:rsidR="006C52B8" w:rsidRPr="004416CF" w14:paraId="773489AC" w14:textId="77777777" w:rsidTr="00FE27A8">
        <w:trPr>
          <w:cantSplit/>
        </w:trPr>
        <w:tc>
          <w:tcPr>
            <w:tcW w:w="846" w:type="pct"/>
            <w:tcBorders>
              <w:top w:val="dotted" w:sz="4" w:space="0" w:color="58595B"/>
              <w:bottom w:val="dotted" w:sz="4" w:space="0" w:color="58595B"/>
            </w:tcBorders>
            <w:shd w:val="clear" w:color="auto" w:fill="auto"/>
          </w:tcPr>
          <w:p w14:paraId="6B2FF3A7" w14:textId="57F98A9A"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29A34255" w14:textId="5F18A6B2" w:rsidR="006C52B8" w:rsidRDefault="009738EB" w:rsidP="006C52B8">
            <w:pPr>
              <w:pStyle w:val="QCATableText"/>
            </w:pPr>
            <w:r w:rsidRPr="009738EB">
              <w:t>SEQ retail electricity market monitoring 2019–20: annual report—fact sheet (discounts, incentives, fees)</w:t>
            </w:r>
          </w:p>
        </w:tc>
      </w:tr>
      <w:tr w:rsidR="009738EB" w:rsidRPr="004416CF" w14:paraId="310C96A9" w14:textId="77777777" w:rsidTr="00FE27A8">
        <w:trPr>
          <w:cantSplit/>
        </w:trPr>
        <w:tc>
          <w:tcPr>
            <w:tcW w:w="846" w:type="pct"/>
            <w:tcBorders>
              <w:top w:val="dotted" w:sz="4" w:space="0" w:color="58595B"/>
              <w:bottom w:val="dotted" w:sz="4" w:space="0" w:color="58595B"/>
            </w:tcBorders>
            <w:shd w:val="clear" w:color="auto" w:fill="auto"/>
          </w:tcPr>
          <w:p w14:paraId="6040EAA7" w14:textId="7D90A6B3" w:rsidR="009738EB"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3576FE75" w14:textId="25CF9589" w:rsidR="009738EB" w:rsidRPr="00732AA1" w:rsidRDefault="009738EB" w:rsidP="006C52B8">
            <w:pPr>
              <w:pStyle w:val="QCATableText"/>
            </w:pPr>
            <w:r w:rsidRPr="009738EB">
              <w:t>SEQ retail electricity market monitoring 2019–20: annual report—fact sheet (</w:t>
            </w:r>
            <w:r>
              <w:t>assisted customers</w:t>
            </w:r>
            <w:r w:rsidRPr="009738EB">
              <w:t>)</w:t>
            </w:r>
          </w:p>
        </w:tc>
      </w:tr>
      <w:tr w:rsidR="006C52B8" w:rsidRPr="004416CF" w14:paraId="3CDCA036" w14:textId="77777777" w:rsidTr="00FE27A8">
        <w:trPr>
          <w:cantSplit/>
        </w:trPr>
        <w:tc>
          <w:tcPr>
            <w:tcW w:w="846" w:type="pct"/>
            <w:tcBorders>
              <w:top w:val="dotted" w:sz="4" w:space="0" w:color="58595B"/>
              <w:bottom w:val="dotted" w:sz="4" w:space="0" w:color="58595B"/>
            </w:tcBorders>
            <w:shd w:val="clear" w:color="auto" w:fill="auto"/>
          </w:tcPr>
          <w:p w14:paraId="4D513899" w14:textId="54F3D7D2"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3FF5341A" w14:textId="79ED449E" w:rsidR="006C52B8" w:rsidRPr="00732AA1" w:rsidRDefault="006C52B8" w:rsidP="006C52B8">
            <w:pPr>
              <w:pStyle w:val="QCATableText"/>
            </w:pPr>
            <w:r w:rsidRPr="00B7525D">
              <w:t>SEQ retail electricity market monitoring 2019–20: annual report</w:t>
            </w:r>
            <w:r w:rsidR="00D57731">
              <w:t>—fact sheet (competitiveness)</w:t>
            </w:r>
          </w:p>
        </w:tc>
      </w:tr>
      <w:tr w:rsidR="006C52B8" w:rsidRPr="004416CF" w14:paraId="1A032CC8" w14:textId="77777777" w:rsidTr="00FE27A8">
        <w:trPr>
          <w:cantSplit/>
        </w:trPr>
        <w:tc>
          <w:tcPr>
            <w:tcW w:w="846" w:type="pct"/>
            <w:tcBorders>
              <w:top w:val="dotted" w:sz="4" w:space="0" w:color="58595B"/>
              <w:bottom w:val="dotted" w:sz="4" w:space="0" w:color="58595B"/>
            </w:tcBorders>
            <w:shd w:val="clear" w:color="auto" w:fill="auto"/>
          </w:tcPr>
          <w:p w14:paraId="39035948" w14:textId="3FF9F040"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5085044F" w14:textId="63AF79C5" w:rsidR="006C52B8" w:rsidRPr="00732AA1" w:rsidRDefault="006C52B8" w:rsidP="006C52B8">
            <w:pPr>
              <w:pStyle w:val="QCATableText"/>
            </w:pPr>
            <w:r w:rsidRPr="00B7525D">
              <w:t>SEQ retail electricity market monitoring 2019–20: annual report</w:t>
            </w:r>
            <w:r w:rsidR="00D57731">
              <w:t>—Q1 dataset</w:t>
            </w:r>
          </w:p>
        </w:tc>
      </w:tr>
      <w:tr w:rsidR="006C52B8" w:rsidRPr="004416CF" w14:paraId="67B28823" w14:textId="77777777" w:rsidTr="00FE27A8">
        <w:trPr>
          <w:cantSplit/>
        </w:trPr>
        <w:tc>
          <w:tcPr>
            <w:tcW w:w="846" w:type="pct"/>
            <w:tcBorders>
              <w:top w:val="dotted" w:sz="4" w:space="0" w:color="58595B"/>
              <w:bottom w:val="dotted" w:sz="4" w:space="0" w:color="58595B"/>
            </w:tcBorders>
            <w:shd w:val="clear" w:color="auto" w:fill="auto"/>
          </w:tcPr>
          <w:p w14:paraId="00691170" w14:textId="3899F16F"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59CEA591" w14:textId="1754E2BF" w:rsidR="006C52B8" w:rsidRPr="00732AA1" w:rsidRDefault="006C52B8" w:rsidP="006C52B8">
            <w:pPr>
              <w:pStyle w:val="QCATableText"/>
            </w:pPr>
            <w:r w:rsidRPr="00B7525D">
              <w:t>SEQ retail electricity market monitoring 2019–20: annual report</w:t>
            </w:r>
            <w:r w:rsidR="00D57731">
              <w:t>—Q2 dataset</w:t>
            </w:r>
          </w:p>
        </w:tc>
      </w:tr>
      <w:tr w:rsidR="006C52B8" w:rsidRPr="004416CF" w14:paraId="283B0F92" w14:textId="77777777" w:rsidTr="00FE27A8">
        <w:trPr>
          <w:cantSplit/>
        </w:trPr>
        <w:tc>
          <w:tcPr>
            <w:tcW w:w="846" w:type="pct"/>
            <w:tcBorders>
              <w:top w:val="dotted" w:sz="4" w:space="0" w:color="58595B"/>
              <w:bottom w:val="dotted" w:sz="4" w:space="0" w:color="58595B"/>
            </w:tcBorders>
            <w:shd w:val="clear" w:color="auto" w:fill="auto"/>
          </w:tcPr>
          <w:p w14:paraId="765A3E00" w14:textId="3E59FFB0" w:rsidR="006C52B8" w:rsidRDefault="009738EB" w:rsidP="006C52B8">
            <w:pPr>
              <w:pStyle w:val="QCATableText"/>
            </w:pPr>
            <w:r>
              <w:t>December 2020</w:t>
            </w:r>
          </w:p>
        </w:tc>
        <w:tc>
          <w:tcPr>
            <w:tcW w:w="4154" w:type="pct"/>
            <w:tcBorders>
              <w:top w:val="dotted" w:sz="4" w:space="0" w:color="58595B"/>
              <w:bottom w:val="dotted" w:sz="4" w:space="0" w:color="58595B"/>
            </w:tcBorders>
            <w:shd w:val="clear" w:color="auto" w:fill="auto"/>
          </w:tcPr>
          <w:p w14:paraId="7F0970D8" w14:textId="579D2A31" w:rsidR="006C52B8" w:rsidRPr="00732AA1" w:rsidRDefault="006C52B8" w:rsidP="006C52B8">
            <w:pPr>
              <w:pStyle w:val="QCATableText"/>
            </w:pPr>
            <w:r w:rsidRPr="00B7525D">
              <w:t>SEQ retail electricity market monitoring 2019–20: annual report</w:t>
            </w:r>
            <w:r w:rsidR="00D57731">
              <w:t>—Q3 dataset</w:t>
            </w:r>
          </w:p>
        </w:tc>
      </w:tr>
      <w:tr w:rsidR="001C5CFF" w:rsidRPr="004416CF" w14:paraId="1E5A9D4C" w14:textId="77777777" w:rsidTr="00FE27A8">
        <w:trPr>
          <w:cantSplit/>
        </w:trPr>
        <w:tc>
          <w:tcPr>
            <w:tcW w:w="846" w:type="pct"/>
            <w:tcBorders>
              <w:top w:val="dotted" w:sz="4" w:space="0" w:color="58595B"/>
              <w:bottom w:val="dotted" w:sz="4" w:space="0" w:color="58595B"/>
            </w:tcBorders>
            <w:shd w:val="clear" w:color="auto" w:fill="auto"/>
          </w:tcPr>
          <w:p w14:paraId="67FA86FE" w14:textId="00FE2A48" w:rsidR="001C5CFF" w:rsidRPr="004416CF" w:rsidRDefault="006C52B8" w:rsidP="001C5CFF">
            <w:pPr>
              <w:pStyle w:val="QCATableText"/>
            </w:pPr>
            <w:r>
              <w:t>December 2020</w:t>
            </w:r>
          </w:p>
        </w:tc>
        <w:tc>
          <w:tcPr>
            <w:tcW w:w="4154" w:type="pct"/>
            <w:tcBorders>
              <w:top w:val="dotted" w:sz="4" w:space="0" w:color="58595B"/>
              <w:bottom w:val="dotted" w:sz="4" w:space="0" w:color="58595B"/>
            </w:tcBorders>
            <w:shd w:val="clear" w:color="auto" w:fill="auto"/>
          </w:tcPr>
          <w:p w14:paraId="11199AF7" w14:textId="68CECBCD" w:rsidR="001C5CFF" w:rsidRDefault="006C52B8" w:rsidP="001C5CFF">
            <w:pPr>
              <w:pStyle w:val="QCATableText"/>
            </w:pPr>
            <w:r>
              <w:t>SEQ retail electricity market monitoring 2019–20: annual report—Q4 dataset</w:t>
            </w:r>
          </w:p>
        </w:tc>
      </w:tr>
      <w:tr w:rsidR="001C5CFF" w:rsidRPr="004416CF" w14:paraId="286D2166" w14:textId="77777777" w:rsidTr="00FE27A8">
        <w:trPr>
          <w:cantSplit/>
        </w:trPr>
        <w:tc>
          <w:tcPr>
            <w:tcW w:w="846" w:type="pct"/>
            <w:tcBorders>
              <w:top w:val="dotted" w:sz="4" w:space="0" w:color="58595B"/>
              <w:bottom w:val="dotted" w:sz="4" w:space="0" w:color="58595B"/>
            </w:tcBorders>
            <w:shd w:val="clear" w:color="auto" w:fill="auto"/>
          </w:tcPr>
          <w:p w14:paraId="15511C7E" w14:textId="145A6F40" w:rsidR="001C5CFF" w:rsidRPr="004416CF" w:rsidRDefault="006C52B8" w:rsidP="001C5CFF">
            <w:pPr>
              <w:pStyle w:val="QCATableText"/>
            </w:pPr>
            <w:r>
              <w:t>December 2020</w:t>
            </w:r>
          </w:p>
        </w:tc>
        <w:tc>
          <w:tcPr>
            <w:tcW w:w="4154" w:type="pct"/>
            <w:tcBorders>
              <w:top w:val="dotted" w:sz="4" w:space="0" w:color="58595B"/>
              <w:bottom w:val="dotted" w:sz="4" w:space="0" w:color="58595B"/>
            </w:tcBorders>
            <w:shd w:val="clear" w:color="auto" w:fill="auto"/>
          </w:tcPr>
          <w:p w14:paraId="63BEC3DF" w14:textId="6FC8B7EA" w:rsidR="001C5CFF" w:rsidRPr="004416CF" w:rsidRDefault="006C52B8" w:rsidP="001C5CFF">
            <w:pPr>
              <w:pStyle w:val="QCATableText"/>
            </w:pPr>
            <w:r>
              <w:t>Aurizon Network’s 2019–20 capital expenditure claim—stakeholder notice</w:t>
            </w:r>
          </w:p>
        </w:tc>
      </w:tr>
      <w:tr w:rsidR="001C5CFF" w:rsidRPr="004416CF" w14:paraId="7ECE45EF" w14:textId="77777777" w:rsidTr="00FE27A8">
        <w:trPr>
          <w:cantSplit/>
        </w:trPr>
        <w:tc>
          <w:tcPr>
            <w:tcW w:w="846" w:type="pct"/>
            <w:tcBorders>
              <w:top w:val="dotted" w:sz="4" w:space="0" w:color="58595B"/>
              <w:bottom w:val="dotted" w:sz="4" w:space="0" w:color="58595B"/>
            </w:tcBorders>
            <w:shd w:val="clear" w:color="auto" w:fill="auto"/>
          </w:tcPr>
          <w:p w14:paraId="7DA7024B" w14:textId="359D24F6" w:rsidR="001C5CFF" w:rsidRPr="004416CF" w:rsidRDefault="006C52B8" w:rsidP="001C5CFF">
            <w:pPr>
              <w:pStyle w:val="QCATableText"/>
            </w:pPr>
            <w:r>
              <w:t>December 2020</w:t>
            </w:r>
          </w:p>
        </w:tc>
        <w:tc>
          <w:tcPr>
            <w:tcW w:w="4154" w:type="pct"/>
            <w:tcBorders>
              <w:top w:val="dotted" w:sz="4" w:space="0" w:color="58595B"/>
              <w:bottom w:val="dotted" w:sz="4" w:space="0" w:color="58595B"/>
            </w:tcBorders>
            <w:shd w:val="clear" w:color="auto" w:fill="auto"/>
          </w:tcPr>
          <w:p w14:paraId="0B0FF8F3" w14:textId="7B7778C4" w:rsidR="001C5CFF" w:rsidRPr="004416CF" w:rsidRDefault="006C52B8" w:rsidP="001C5CFF">
            <w:pPr>
              <w:pStyle w:val="QCATableText"/>
            </w:pPr>
            <w:r>
              <w:t>Aurizon Network’s revenue adjustment amounts 2019–20—final decision</w:t>
            </w:r>
          </w:p>
        </w:tc>
      </w:tr>
      <w:tr w:rsidR="001C5CFF" w:rsidRPr="004416CF" w14:paraId="7BD614AC" w14:textId="77777777" w:rsidTr="00FE27A8">
        <w:trPr>
          <w:cantSplit/>
        </w:trPr>
        <w:tc>
          <w:tcPr>
            <w:tcW w:w="846" w:type="pct"/>
            <w:tcBorders>
              <w:top w:val="dotted" w:sz="4" w:space="0" w:color="58595B"/>
              <w:bottom w:val="dotted" w:sz="4" w:space="0" w:color="58595B"/>
            </w:tcBorders>
            <w:shd w:val="clear" w:color="auto" w:fill="auto"/>
          </w:tcPr>
          <w:p w14:paraId="30CA3F87" w14:textId="1E271411" w:rsidR="001C5CFF" w:rsidRDefault="006C52B8" w:rsidP="001C5CFF">
            <w:pPr>
              <w:pStyle w:val="QCATableText"/>
            </w:pPr>
            <w:r>
              <w:t>December 2020</w:t>
            </w:r>
          </w:p>
        </w:tc>
        <w:tc>
          <w:tcPr>
            <w:tcW w:w="4154" w:type="pct"/>
            <w:tcBorders>
              <w:top w:val="dotted" w:sz="4" w:space="0" w:color="58595B"/>
              <w:bottom w:val="dotted" w:sz="4" w:space="0" w:color="58595B"/>
            </w:tcBorders>
            <w:shd w:val="clear" w:color="auto" w:fill="auto"/>
          </w:tcPr>
          <w:p w14:paraId="59F3DF9B" w14:textId="2997E38A" w:rsidR="001C5CFF" w:rsidDel="00452237" w:rsidRDefault="006C52B8" w:rsidP="001C5CFF">
            <w:pPr>
              <w:pStyle w:val="QCATableText"/>
            </w:pPr>
            <w:r>
              <w:t>Aurizon Network’s Meteor Downs South Pricing DAAU—final decision notice</w:t>
            </w:r>
          </w:p>
        </w:tc>
      </w:tr>
      <w:tr w:rsidR="001C5CFF" w:rsidRPr="004416CF" w14:paraId="0CAF7BE9" w14:textId="77777777" w:rsidTr="00FE27A8">
        <w:trPr>
          <w:cantSplit/>
        </w:trPr>
        <w:tc>
          <w:tcPr>
            <w:tcW w:w="846" w:type="pct"/>
            <w:tcBorders>
              <w:top w:val="dotted" w:sz="4" w:space="0" w:color="58595B"/>
              <w:bottom w:val="dotted" w:sz="4" w:space="0" w:color="58595B"/>
            </w:tcBorders>
            <w:shd w:val="clear" w:color="auto" w:fill="auto"/>
          </w:tcPr>
          <w:p w14:paraId="4A5DE2DA" w14:textId="5EF1A4C8" w:rsidR="001C5CFF" w:rsidRPr="004416CF" w:rsidRDefault="006C52B8" w:rsidP="001C5CFF">
            <w:pPr>
              <w:pStyle w:val="QCATableText"/>
            </w:pPr>
            <w:r>
              <w:t>December 2020</w:t>
            </w:r>
          </w:p>
        </w:tc>
        <w:tc>
          <w:tcPr>
            <w:tcW w:w="4154" w:type="pct"/>
            <w:tcBorders>
              <w:top w:val="dotted" w:sz="4" w:space="0" w:color="58595B"/>
              <w:bottom w:val="dotted" w:sz="4" w:space="0" w:color="58595B"/>
            </w:tcBorders>
            <w:shd w:val="clear" w:color="auto" w:fill="auto"/>
          </w:tcPr>
          <w:p w14:paraId="0ED496F2" w14:textId="357E32B2" w:rsidR="001C5CFF" w:rsidDel="00BC72CD" w:rsidRDefault="006C52B8" w:rsidP="001C5CFF">
            <w:pPr>
              <w:pStyle w:val="QCATableText"/>
            </w:pPr>
            <w:r>
              <w:t>DBCT review event: change in reference tonnage—approval letter</w:t>
            </w:r>
          </w:p>
        </w:tc>
      </w:tr>
      <w:tr w:rsidR="001C5CFF" w:rsidRPr="004416CF" w14:paraId="030C2852" w14:textId="77777777" w:rsidTr="00FE27A8">
        <w:trPr>
          <w:cantSplit/>
        </w:trPr>
        <w:tc>
          <w:tcPr>
            <w:tcW w:w="846" w:type="pct"/>
            <w:tcBorders>
              <w:top w:val="dotted" w:sz="4" w:space="0" w:color="58595B"/>
              <w:bottom w:val="dotted" w:sz="4" w:space="0" w:color="58595B"/>
            </w:tcBorders>
            <w:shd w:val="clear" w:color="auto" w:fill="auto"/>
          </w:tcPr>
          <w:p w14:paraId="696350F1" w14:textId="6962096A" w:rsidR="001C5CFF" w:rsidRDefault="00F92411" w:rsidP="001C5CFF">
            <w:pPr>
              <w:pStyle w:val="QCATableText"/>
            </w:pPr>
            <w:r>
              <w:t>December 2020</w:t>
            </w:r>
          </w:p>
        </w:tc>
        <w:tc>
          <w:tcPr>
            <w:tcW w:w="4154" w:type="pct"/>
            <w:tcBorders>
              <w:top w:val="dotted" w:sz="4" w:space="0" w:color="58595B"/>
              <w:bottom w:val="dotted" w:sz="4" w:space="0" w:color="58595B"/>
            </w:tcBorders>
            <w:shd w:val="clear" w:color="auto" w:fill="auto"/>
          </w:tcPr>
          <w:p w14:paraId="2225110F" w14:textId="443C3412" w:rsidR="001C5CFF" w:rsidDel="00452237" w:rsidRDefault="006C52B8" w:rsidP="001C5CFF">
            <w:pPr>
              <w:pStyle w:val="QCATableText"/>
            </w:pPr>
            <w:r>
              <w:t>2019 DBCT draft access undertaking—letter to DBCT User Group</w:t>
            </w:r>
          </w:p>
        </w:tc>
      </w:tr>
      <w:tr w:rsidR="001C5CFF" w:rsidRPr="004416CF" w14:paraId="39ABE832" w14:textId="77777777" w:rsidTr="00FE27A8">
        <w:trPr>
          <w:cantSplit/>
        </w:trPr>
        <w:tc>
          <w:tcPr>
            <w:tcW w:w="846" w:type="pct"/>
            <w:tcBorders>
              <w:top w:val="dotted" w:sz="4" w:space="0" w:color="58595B"/>
              <w:bottom w:val="dotted" w:sz="4" w:space="0" w:color="58595B"/>
            </w:tcBorders>
            <w:shd w:val="clear" w:color="auto" w:fill="auto"/>
          </w:tcPr>
          <w:p w14:paraId="433163C0" w14:textId="0204E081" w:rsidR="001C5CFF" w:rsidRPr="004416CF" w:rsidRDefault="00F92411" w:rsidP="001C5CFF">
            <w:pPr>
              <w:pStyle w:val="QCATableText"/>
            </w:pPr>
            <w:r>
              <w:t>November 2020</w:t>
            </w:r>
          </w:p>
        </w:tc>
        <w:tc>
          <w:tcPr>
            <w:tcW w:w="4154" w:type="pct"/>
            <w:tcBorders>
              <w:top w:val="dotted" w:sz="4" w:space="0" w:color="58595B"/>
              <w:bottom w:val="dotted" w:sz="4" w:space="0" w:color="58595B"/>
            </w:tcBorders>
            <w:shd w:val="clear" w:color="auto" w:fill="auto"/>
          </w:tcPr>
          <w:p w14:paraId="58CC88E0" w14:textId="675FFCCA" w:rsidR="001C5CFF" w:rsidRPr="004416CF" w:rsidRDefault="00F92411" w:rsidP="001C5CFF">
            <w:pPr>
              <w:pStyle w:val="QCATableText"/>
            </w:pPr>
            <w:r>
              <w:t>Regulatory pricing principles for the water sector—draft statement</w:t>
            </w:r>
          </w:p>
        </w:tc>
      </w:tr>
      <w:tr w:rsidR="001C5CFF" w:rsidRPr="004416CF" w14:paraId="79580C72" w14:textId="77777777" w:rsidTr="00FE27A8">
        <w:trPr>
          <w:cantSplit/>
        </w:trPr>
        <w:tc>
          <w:tcPr>
            <w:tcW w:w="846" w:type="pct"/>
            <w:tcBorders>
              <w:top w:val="dotted" w:sz="4" w:space="0" w:color="58595B"/>
              <w:bottom w:val="dotted" w:sz="4" w:space="0" w:color="58595B"/>
            </w:tcBorders>
            <w:shd w:val="clear" w:color="auto" w:fill="auto"/>
          </w:tcPr>
          <w:p w14:paraId="12F79272" w14:textId="7E94F0E4" w:rsidR="001C5CFF" w:rsidRPr="004416CF" w:rsidRDefault="00F92411" w:rsidP="001C5CFF">
            <w:pPr>
              <w:pStyle w:val="QCATableText"/>
            </w:pPr>
            <w:r>
              <w:t>November 2020</w:t>
            </w:r>
          </w:p>
        </w:tc>
        <w:tc>
          <w:tcPr>
            <w:tcW w:w="4154" w:type="pct"/>
            <w:tcBorders>
              <w:top w:val="dotted" w:sz="4" w:space="0" w:color="58595B"/>
              <w:bottom w:val="dotted" w:sz="4" w:space="0" w:color="58595B"/>
            </w:tcBorders>
            <w:shd w:val="clear" w:color="auto" w:fill="auto"/>
          </w:tcPr>
          <w:p w14:paraId="3EB9CF72" w14:textId="651E6E13" w:rsidR="001C5CFF" w:rsidRDefault="00F92411" w:rsidP="001C5CFF">
            <w:pPr>
              <w:pStyle w:val="QCATableText"/>
            </w:pPr>
            <w:r>
              <w:t>Aurizon Network’s Meteor Downs South Pricing DAAU—preliminary view</w:t>
            </w:r>
          </w:p>
        </w:tc>
      </w:tr>
      <w:tr w:rsidR="001C5CFF" w:rsidRPr="004416CF" w14:paraId="177F63BD" w14:textId="77777777" w:rsidTr="00FE27A8">
        <w:trPr>
          <w:cantSplit/>
        </w:trPr>
        <w:tc>
          <w:tcPr>
            <w:tcW w:w="846" w:type="pct"/>
            <w:tcBorders>
              <w:top w:val="dotted" w:sz="4" w:space="0" w:color="58595B"/>
              <w:bottom w:val="dotted" w:sz="4" w:space="0" w:color="58595B"/>
            </w:tcBorders>
            <w:shd w:val="clear" w:color="auto" w:fill="auto"/>
          </w:tcPr>
          <w:p w14:paraId="41E26EEB" w14:textId="4F9558F3" w:rsidR="001C5CFF" w:rsidRDefault="00F92411" w:rsidP="001C5CFF">
            <w:pPr>
              <w:pStyle w:val="QCATableText"/>
            </w:pPr>
            <w:r>
              <w:t>November 2020</w:t>
            </w:r>
          </w:p>
        </w:tc>
        <w:tc>
          <w:tcPr>
            <w:tcW w:w="4154" w:type="pct"/>
            <w:tcBorders>
              <w:top w:val="dotted" w:sz="4" w:space="0" w:color="58595B"/>
              <w:bottom w:val="dotted" w:sz="4" w:space="0" w:color="58595B"/>
            </w:tcBorders>
            <w:shd w:val="clear" w:color="auto" w:fill="auto"/>
          </w:tcPr>
          <w:p w14:paraId="26C610CE" w14:textId="70DB151B" w:rsidR="001C5CFF" w:rsidDel="00BC72CD" w:rsidRDefault="00DC5E5B" w:rsidP="00DC5E5B">
            <w:pPr>
              <w:pStyle w:val="QCATableText"/>
            </w:pPr>
            <w:r w:rsidRPr="00DC5E5B">
              <w:t>Energy enforcement action: AGL late payment fees (2020)—media release</w:t>
            </w:r>
          </w:p>
        </w:tc>
      </w:tr>
      <w:tr w:rsidR="001C5CFF" w:rsidRPr="004416CF" w14:paraId="2DE06928" w14:textId="77777777" w:rsidTr="00FE27A8">
        <w:trPr>
          <w:cantSplit/>
        </w:trPr>
        <w:tc>
          <w:tcPr>
            <w:tcW w:w="846" w:type="pct"/>
            <w:tcBorders>
              <w:top w:val="dotted" w:sz="4" w:space="0" w:color="58595B"/>
              <w:bottom w:val="dotted" w:sz="4" w:space="0" w:color="58595B"/>
            </w:tcBorders>
            <w:shd w:val="clear" w:color="auto" w:fill="auto"/>
          </w:tcPr>
          <w:p w14:paraId="4C445B5D" w14:textId="5F782486" w:rsidR="001C5CFF" w:rsidRDefault="0074448B" w:rsidP="001C5CFF">
            <w:pPr>
              <w:pStyle w:val="QCATableText"/>
            </w:pPr>
            <w:r>
              <w:t>October 2020</w:t>
            </w:r>
          </w:p>
        </w:tc>
        <w:tc>
          <w:tcPr>
            <w:tcW w:w="4154" w:type="pct"/>
            <w:tcBorders>
              <w:top w:val="dotted" w:sz="4" w:space="0" w:color="58595B"/>
              <w:bottom w:val="dotted" w:sz="4" w:space="0" w:color="58595B"/>
            </w:tcBorders>
            <w:shd w:val="clear" w:color="auto" w:fill="auto"/>
          </w:tcPr>
          <w:p w14:paraId="7571E80E" w14:textId="69013F56" w:rsidR="001C5CFF" w:rsidRDefault="0074448B" w:rsidP="001C5CFF">
            <w:pPr>
              <w:pStyle w:val="QCATableText"/>
            </w:pPr>
            <w:r>
              <w:t>2020–21 Notified prices: supplementary review</w:t>
            </w:r>
            <w:r w:rsidR="00496E0E">
              <w:t>—</w:t>
            </w:r>
            <w:r>
              <w:t>final determination</w:t>
            </w:r>
          </w:p>
        </w:tc>
      </w:tr>
      <w:tr w:rsidR="001C5CFF" w:rsidRPr="004416CF" w14:paraId="57129B04" w14:textId="77777777" w:rsidTr="00FE27A8">
        <w:trPr>
          <w:cantSplit/>
        </w:trPr>
        <w:tc>
          <w:tcPr>
            <w:tcW w:w="846" w:type="pct"/>
            <w:tcBorders>
              <w:top w:val="dotted" w:sz="4" w:space="0" w:color="58595B"/>
              <w:bottom w:val="dotted" w:sz="4" w:space="0" w:color="58595B"/>
            </w:tcBorders>
            <w:shd w:val="clear" w:color="auto" w:fill="auto"/>
          </w:tcPr>
          <w:p w14:paraId="0D220648" w14:textId="726C75F7" w:rsidR="001C5CFF" w:rsidRDefault="0074448B" w:rsidP="001C5CFF">
            <w:pPr>
              <w:pStyle w:val="QCATableText"/>
            </w:pPr>
            <w:r>
              <w:t>October 2020</w:t>
            </w:r>
          </w:p>
        </w:tc>
        <w:tc>
          <w:tcPr>
            <w:tcW w:w="4154" w:type="pct"/>
            <w:tcBorders>
              <w:top w:val="dotted" w:sz="4" w:space="0" w:color="58595B"/>
              <w:bottom w:val="dotted" w:sz="4" w:space="0" w:color="58595B"/>
            </w:tcBorders>
            <w:shd w:val="clear" w:color="auto" w:fill="auto"/>
          </w:tcPr>
          <w:p w14:paraId="6D57A99B" w14:textId="28506520" w:rsidR="001C5CFF" w:rsidDel="00BC72CD" w:rsidRDefault="0074448B" w:rsidP="001C5CFF">
            <w:pPr>
              <w:pStyle w:val="QCATableText"/>
            </w:pPr>
            <w:r>
              <w:t>2020–21 Notified prices: supplementary review</w:t>
            </w:r>
            <w:r w:rsidR="00496E0E">
              <w:t>—</w:t>
            </w:r>
            <w:r>
              <w:t>final determination</w:t>
            </w:r>
            <w:r w:rsidR="00496E0E">
              <w:t xml:space="preserve">: </w:t>
            </w:r>
            <w:r>
              <w:t>technical appendices</w:t>
            </w:r>
          </w:p>
        </w:tc>
      </w:tr>
      <w:tr w:rsidR="001C5CFF" w:rsidRPr="004416CF" w14:paraId="5B854F08" w14:textId="77777777" w:rsidTr="00FE27A8">
        <w:trPr>
          <w:cantSplit/>
        </w:trPr>
        <w:tc>
          <w:tcPr>
            <w:tcW w:w="846" w:type="pct"/>
            <w:tcBorders>
              <w:top w:val="dotted" w:sz="4" w:space="0" w:color="58595B"/>
              <w:bottom w:val="dotted" w:sz="4" w:space="0" w:color="58595B"/>
            </w:tcBorders>
            <w:shd w:val="clear" w:color="auto" w:fill="auto"/>
          </w:tcPr>
          <w:p w14:paraId="7FD1BE18" w14:textId="01BCCB03" w:rsidR="001C5CFF" w:rsidRDefault="0074448B" w:rsidP="001C5CFF">
            <w:pPr>
              <w:pStyle w:val="QCATableText"/>
            </w:pPr>
            <w:r>
              <w:t>October 2020</w:t>
            </w:r>
          </w:p>
        </w:tc>
        <w:tc>
          <w:tcPr>
            <w:tcW w:w="4154" w:type="pct"/>
            <w:tcBorders>
              <w:top w:val="dotted" w:sz="4" w:space="0" w:color="58595B"/>
              <w:bottom w:val="dotted" w:sz="4" w:space="0" w:color="58595B"/>
            </w:tcBorders>
            <w:shd w:val="clear" w:color="auto" w:fill="auto"/>
          </w:tcPr>
          <w:p w14:paraId="2C769029" w14:textId="67C2126C" w:rsidR="001C5CFF" w:rsidDel="00BC72CD" w:rsidRDefault="0074448B" w:rsidP="001C5CFF">
            <w:pPr>
              <w:pStyle w:val="QCATableText"/>
            </w:pPr>
            <w:r>
              <w:t>2020–21 Notified prices: supplementary review</w:t>
            </w:r>
            <w:r w:rsidR="00496E0E">
              <w:t>—</w:t>
            </w:r>
            <w:r>
              <w:t>final determination</w:t>
            </w:r>
            <w:r w:rsidR="00496E0E">
              <w:t xml:space="preserve">: </w:t>
            </w:r>
            <w:r>
              <w:t>information booklet</w:t>
            </w:r>
          </w:p>
        </w:tc>
      </w:tr>
      <w:tr w:rsidR="001C5CFF" w:rsidRPr="004416CF" w14:paraId="739F6791" w14:textId="77777777" w:rsidTr="00542A8D">
        <w:trPr>
          <w:cantSplit/>
        </w:trPr>
        <w:tc>
          <w:tcPr>
            <w:tcW w:w="846" w:type="pct"/>
            <w:tcBorders>
              <w:top w:val="dotted" w:sz="4" w:space="0" w:color="58595B"/>
              <w:bottom w:val="dotted" w:sz="4" w:space="0" w:color="58595B"/>
            </w:tcBorders>
            <w:shd w:val="clear" w:color="auto" w:fill="auto"/>
          </w:tcPr>
          <w:p w14:paraId="20743D24" w14:textId="77A97F51" w:rsidR="001C5CFF" w:rsidDel="006E3922" w:rsidRDefault="0074448B" w:rsidP="001C5CFF">
            <w:pPr>
              <w:pStyle w:val="QCATableText"/>
            </w:pPr>
            <w:r>
              <w:t>October 2020</w:t>
            </w:r>
          </w:p>
        </w:tc>
        <w:tc>
          <w:tcPr>
            <w:tcW w:w="4154" w:type="pct"/>
            <w:tcBorders>
              <w:top w:val="dotted" w:sz="4" w:space="0" w:color="58595B"/>
              <w:bottom w:val="dotted" w:sz="4" w:space="0" w:color="58595B"/>
            </w:tcBorders>
            <w:shd w:val="clear" w:color="auto" w:fill="auto"/>
          </w:tcPr>
          <w:p w14:paraId="265A5C9B" w14:textId="75369C8C" w:rsidR="001C5CFF" w:rsidRDefault="0074448B" w:rsidP="001C5CFF">
            <w:pPr>
              <w:pStyle w:val="QCATableText"/>
            </w:pPr>
            <w:r>
              <w:t>2020–21 Notified prices: supplementary review</w:t>
            </w:r>
            <w:r w:rsidR="00496E0E">
              <w:t>—</w:t>
            </w:r>
            <w:r>
              <w:t>final determination</w:t>
            </w:r>
            <w:r w:rsidR="00496E0E">
              <w:t xml:space="preserve">: </w:t>
            </w:r>
            <w:r>
              <w:t>media release</w:t>
            </w:r>
          </w:p>
        </w:tc>
      </w:tr>
      <w:tr w:rsidR="004B2A36" w:rsidRPr="004416CF" w14:paraId="6302BBFD" w14:textId="77777777" w:rsidTr="00542A8D">
        <w:trPr>
          <w:cantSplit/>
        </w:trPr>
        <w:tc>
          <w:tcPr>
            <w:tcW w:w="846" w:type="pct"/>
            <w:tcBorders>
              <w:top w:val="dotted" w:sz="4" w:space="0" w:color="58595B"/>
              <w:bottom w:val="dotted" w:sz="4" w:space="0" w:color="58595B"/>
            </w:tcBorders>
            <w:shd w:val="clear" w:color="auto" w:fill="auto"/>
          </w:tcPr>
          <w:p w14:paraId="4E42B488" w14:textId="0CF1339D" w:rsidR="004B2A36" w:rsidRDefault="0074448B" w:rsidP="004B2A36">
            <w:pPr>
              <w:pStyle w:val="QCATableText"/>
            </w:pPr>
            <w:r>
              <w:t>October 2020</w:t>
            </w:r>
          </w:p>
        </w:tc>
        <w:tc>
          <w:tcPr>
            <w:tcW w:w="4154" w:type="pct"/>
            <w:tcBorders>
              <w:top w:val="dotted" w:sz="4" w:space="0" w:color="58595B"/>
              <w:bottom w:val="dotted" w:sz="4" w:space="0" w:color="58595B"/>
            </w:tcBorders>
            <w:shd w:val="clear" w:color="auto" w:fill="auto"/>
          </w:tcPr>
          <w:p w14:paraId="7014A4CA" w14:textId="603F360A" w:rsidR="004B2A36" w:rsidRDefault="0074448B" w:rsidP="004B2A36">
            <w:pPr>
              <w:pStyle w:val="QCATableText"/>
            </w:pPr>
            <w:r>
              <w:t>Aurizon Network’s Maintenance and Cross System Voting DAAU—notice of decision</w:t>
            </w:r>
          </w:p>
        </w:tc>
      </w:tr>
      <w:tr w:rsidR="004B2A36" w:rsidRPr="004416CF" w14:paraId="445615ED" w14:textId="77777777" w:rsidTr="00542A8D">
        <w:trPr>
          <w:cantSplit/>
        </w:trPr>
        <w:tc>
          <w:tcPr>
            <w:tcW w:w="846" w:type="pct"/>
            <w:tcBorders>
              <w:top w:val="dotted" w:sz="4" w:space="0" w:color="58595B"/>
              <w:bottom w:val="dotted" w:sz="4" w:space="0" w:color="58595B"/>
            </w:tcBorders>
            <w:shd w:val="clear" w:color="auto" w:fill="auto"/>
          </w:tcPr>
          <w:p w14:paraId="4AAAC2B2" w14:textId="0FE1C75C" w:rsidR="004B2A36" w:rsidRDefault="0074448B" w:rsidP="004B2A36">
            <w:pPr>
              <w:pStyle w:val="QCATableText"/>
            </w:pPr>
            <w:r>
              <w:t>October 2020</w:t>
            </w:r>
          </w:p>
        </w:tc>
        <w:tc>
          <w:tcPr>
            <w:tcW w:w="4154" w:type="pct"/>
            <w:tcBorders>
              <w:top w:val="dotted" w:sz="4" w:space="0" w:color="58595B"/>
              <w:bottom w:val="dotted" w:sz="4" w:space="0" w:color="58595B"/>
            </w:tcBorders>
            <w:shd w:val="clear" w:color="auto" w:fill="auto"/>
          </w:tcPr>
          <w:p w14:paraId="13FBF797" w14:textId="6417F44C" w:rsidR="004B2A36" w:rsidRDefault="0074448B" w:rsidP="004B2A36">
            <w:pPr>
              <w:pStyle w:val="QCATableText"/>
            </w:pPr>
            <w:r>
              <w:t>Determinations on proposed amendments to the DBCT terminal regulations—summary of reasons</w:t>
            </w:r>
          </w:p>
        </w:tc>
      </w:tr>
      <w:tr w:rsidR="001066D3" w:rsidRPr="004416CF" w14:paraId="426007C8" w14:textId="77777777" w:rsidTr="00542A8D">
        <w:trPr>
          <w:cantSplit/>
        </w:trPr>
        <w:tc>
          <w:tcPr>
            <w:tcW w:w="846" w:type="pct"/>
            <w:tcBorders>
              <w:top w:val="dotted" w:sz="4" w:space="0" w:color="58595B"/>
              <w:bottom w:val="dotted" w:sz="4" w:space="0" w:color="58595B"/>
            </w:tcBorders>
            <w:shd w:val="clear" w:color="auto" w:fill="auto"/>
          </w:tcPr>
          <w:p w14:paraId="7E10FCEF" w14:textId="0FC519B2" w:rsidR="001066D3" w:rsidRPr="00F50DD2" w:rsidRDefault="0074448B" w:rsidP="001066D3">
            <w:pPr>
              <w:pStyle w:val="QCATableText"/>
            </w:pPr>
            <w:r>
              <w:t>October 2020</w:t>
            </w:r>
          </w:p>
        </w:tc>
        <w:tc>
          <w:tcPr>
            <w:tcW w:w="4154" w:type="pct"/>
            <w:tcBorders>
              <w:top w:val="dotted" w:sz="4" w:space="0" w:color="58595B"/>
              <w:bottom w:val="dotted" w:sz="4" w:space="0" w:color="58595B"/>
            </w:tcBorders>
            <w:shd w:val="clear" w:color="auto" w:fill="auto"/>
          </w:tcPr>
          <w:p w14:paraId="6CC450E3" w14:textId="5F084420" w:rsidR="001066D3" w:rsidRDefault="0074448B" w:rsidP="001066D3">
            <w:pPr>
              <w:pStyle w:val="QCATableText"/>
            </w:pPr>
            <w:r>
              <w:t>Rate of return review 2021—request for comments paper</w:t>
            </w:r>
          </w:p>
        </w:tc>
      </w:tr>
      <w:tr w:rsidR="001066D3" w:rsidRPr="004416CF" w14:paraId="494ECD2A" w14:textId="77777777" w:rsidTr="00542A8D">
        <w:trPr>
          <w:cantSplit/>
        </w:trPr>
        <w:tc>
          <w:tcPr>
            <w:tcW w:w="846" w:type="pct"/>
            <w:tcBorders>
              <w:top w:val="dotted" w:sz="4" w:space="0" w:color="58595B"/>
              <w:bottom w:val="dotted" w:sz="4" w:space="0" w:color="58595B"/>
            </w:tcBorders>
            <w:shd w:val="clear" w:color="auto" w:fill="auto"/>
          </w:tcPr>
          <w:p w14:paraId="7E38FB16" w14:textId="11273C0D" w:rsidR="001066D3" w:rsidRDefault="0074448B" w:rsidP="001066D3">
            <w:pPr>
              <w:pStyle w:val="QCATableText"/>
            </w:pPr>
            <w:r>
              <w:t>October 2020</w:t>
            </w:r>
          </w:p>
        </w:tc>
        <w:tc>
          <w:tcPr>
            <w:tcW w:w="4154" w:type="pct"/>
            <w:tcBorders>
              <w:top w:val="dotted" w:sz="4" w:space="0" w:color="58595B"/>
              <w:bottom w:val="dotted" w:sz="4" w:space="0" w:color="58595B"/>
            </w:tcBorders>
            <w:shd w:val="clear" w:color="auto" w:fill="auto"/>
          </w:tcPr>
          <w:p w14:paraId="6B05670A" w14:textId="2E819B04" w:rsidR="001066D3" w:rsidRDefault="0074448B" w:rsidP="001066D3">
            <w:pPr>
              <w:pStyle w:val="QCATableText"/>
            </w:pPr>
            <w:r>
              <w:t>2019 DBCT draft access undertaking—notice for further submissions and stakeholder forums</w:t>
            </w:r>
          </w:p>
        </w:tc>
      </w:tr>
      <w:tr w:rsidR="001066D3" w:rsidRPr="004416CF" w14:paraId="08E26913" w14:textId="77777777" w:rsidTr="00542A8D">
        <w:trPr>
          <w:cantSplit/>
        </w:trPr>
        <w:tc>
          <w:tcPr>
            <w:tcW w:w="846" w:type="pct"/>
            <w:tcBorders>
              <w:top w:val="dotted" w:sz="4" w:space="0" w:color="58595B"/>
              <w:bottom w:val="dotted" w:sz="4" w:space="0" w:color="58595B"/>
            </w:tcBorders>
            <w:shd w:val="clear" w:color="auto" w:fill="auto"/>
          </w:tcPr>
          <w:p w14:paraId="423B907C" w14:textId="501DD2C5" w:rsidR="001066D3" w:rsidRDefault="00CD2B5E" w:rsidP="001066D3">
            <w:pPr>
              <w:pStyle w:val="QCATableText"/>
            </w:pPr>
            <w:r>
              <w:t>September 2020</w:t>
            </w:r>
          </w:p>
        </w:tc>
        <w:tc>
          <w:tcPr>
            <w:tcW w:w="4154" w:type="pct"/>
            <w:tcBorders>
              <w:top w:val="dotted" w:sz="4" w:space="0" w:color="58595B"/>
              <w:bottom w:val="dotted" w:sz="4" w:space="0" w:color="58595B"/>
            </w:tcBorders>
            <w:shd w:val="clear" w:color="auto" w:fill="auto"/>
          </w:tcPr>
          <w:p w14:paraId="0222B766" w14:textId="673D121E" w:rsidR="001066D3" w:rsidRDefault="00CD2B5E" w:rsidP="001066D3">
            <w:pPr>
              <w:pStyle w:val="QCATableText"/>
            </w:pPr>
            <w:r>
              <w:t>QCA annual report 2019–20</w:t>
            </w:r>
          </w:p>
        </w:tc>
      </w:tr>
      <w:tr w:rsidR="004B2A36" w:rsidRPr="004416CF" w14:paraId="34D044B3" w14:textId="77777777" w:rsidTr="00542A8D">
        <w:trPr>
          <w:cantSplit/>
        </w:trPr>
        <w:tc>
          <w:tcPr>
            <w:tcW w:w="846" w:type="pct"/>
            <w:tcBorders>
              <w:top w:val="dotted" w:sz="4" w:space="0" w:color="58595B"/>
              <w:bottom w:val="dotted" w:sz="4" w:space="0" w:color="58595B"/>
            </w:tcBorders>
            <w:shd w:val="clear" w:color="auto" w:fill="auto"/>
          </w:tcPr>
          <w:p w14:paraId="1B261F0D" w14:textId="7E876256" w:rsidR="004B2A36" w:rsidRDefault="00CD2B5E" w:rsidP="004B2A36">
            <w:pPr>
              <w:pStyle w:val="QCATableText"/>
            </w:pPr>
            <w:r>
              <w:t>September 2020</w:t>
            </w:r>
          </w:p>
        </w:tc>
        <w:tc>
          <w:tcPr>
            <w:tcW w:w="4154" w:type="pct"/>
            <w:tcBorders>
              <w:top w:val="dotted" w:sz="4" w:space="0" w:color="58595B"/>
              <w:bottom w:val="dotted" w:sz="4" w:space="0" w:color="58595B"/>
            </w:tcBorders>
            <w:shd w:val="clear" w:color="auto" w:fill="auto"/>
          </w:tcPr>
          <w:p w14:paraId="2081F63D" w14:textId="3C1E71BD" w:rsidR="004B2A36" w:rsidRDefault="00CD2B5E" w:rsidP="004B2A36">
            <w:pPr>
              <w:pStyle w:val="QCATableText"/>
            </w:pPr>
            <w:r>
              <w:t>Aurizon Network’s Maintenance and Cross System Voting DAAU—stakeholder notice</w:t>
            </w:r>
          </w:p>
        </w:tc>
      </w:tr>
      <w:tr w:rsidR="004B2A36" w:rsidRPr="004416CF" w14:paraId="1B645B8E" w14:textId="77777777" w:rsidTr="00542A8D">
        <w:trPr>
          <w:cantSplit/>
        </w:trPr>
        <w:tc>
          <w:tcPr>
            <w:tcW w:w="846" w:type="pct"/>
            <w:tcBorders>
              <w:top w:val="dotted" w:sz="4" w:space="0" w:color="58595B"/>
              <w:bottom w:val="dotted" w:sz="4" w:space="0" w:color="58595B"/>
            </w:tcBorders>
            <w:shd w:val="clear" w:color="auto" w:fill="auto"/>
          </w:tcPr>
          <w:p w14:paraId="7CAE3657" w14:textId="44E35F96" w:rsidR="004B2A36" w:rsidRDefault="00CD2B5E" w:rsidP="004B2A36">
            <w:pPr>
              <w:pStyle w:val="QCATableText"/>
            </w:pPr>
            <w:r>
              <w:t>September 2020</w:t>
            </w:r>
          </w:p>
        </w:tc>
        <w:tc>
          <w:tcPr>
            <w:tcW w:w="4154" w:type="pct"/>
            <w:tcBorders>
              <w:top w:val="dotted" w:sz="4" w:space="0" w:color="58595B"/>
              <w:bottom w:val="dotted" w:sz="4" w:space="0" w:color="58595B"/>
            </w:tcBorders>
            <w:shd w:val="clear" w:color="auto" w:fill="auto"/>
          </w:tcPr>
          <w:p w14:paraId="426798F9" w14:textId="4B20A4F7" w:rsidR="004B2A36" w:rsidRDefault="00CD2B5E" w:rsidP="004B2A36">
            <w:pPr>
              <w:pStyle w:val="QCATableText"/>
            </w:pPr>
            <w:r>
              <w:t>Guaranteed Service Level annual report</w:t>
            </w:r>
            <w:r w:rsidR="00F11714">
              <w:t xml:space="preserve"> </w:t>
            </w:r>
            <w:r>
              <w:t>2019–20</w:t>
            </w:r>
          </w:p>
        </w:tc>
      </w:tr>
      <w:tr w:rsidR="004B2A36" w:rsidRPr="004416CF" w14:paraId="35646AC7" w14:textId="77777777" w:rsidTr="00542A8D">
        <w:trPr>
          <w:cantSplit/>
        </w:trPr>
        <w:tc>
          <w:tcPr>
            <w:tcW w:w="846" w:type="pct"/>
            <w:tcBorders>
              <w:top w:val="dotted" w:sz="4" w:space="0" w:color="58595B"/>
              <w:bottom w:val="dotted" w:sz="4" w:space="0" w:color="58595B"/>
            </w:tcBorders>
            <w:shd w:val="clear" w:color="auto" w:fill="auto"/>
          </w:tcPr>
          <w:p w14:paraId="044E05A4" w14:textId="72A8F83D" w:rsidR="004B2A36" w:rsidRDefault="000E01EE" w:rsidP="004B2A36">
            <w:pPr>
              <w:pStyle w:val="QCATableText"/>
            </w:pPr>
            <w:r>
              <w:t>September 2020</w:t>
            </w:r>
          </w:p>
        </w:tc>
        <w:tc>
          <w:tcPr>
            <w:tcW w:w="4154" w:type="pct"/>
            <w:tcBorders>
              <w:top w:val="dotted" w:sz="4" w:space="0" w:color="58595B"/>
              <w:bottom w:val="dotted" w:sz="4" w:space="0" w:color="58595B"/>
            </w:tcBorders>
            <w:shd w:val="clear" w:color="auto" w:fill="auto"/>
          </w:tcPr>
          <w:p w14:paraId="403B1369" w14:textId="0400249E" w:rsidR="004B2A36" w:rsidRDefault="00293C45" w:rsidP="004B2A36">
            <w:pPr>
              <w:pStyle w:val="QCATableText"/>
            </w:pPr>
            <w:r>
              <w:t>Aurizon Network’s 2019-20</w:t>
            </w:r>
            <w:r w:rsidR="00CD2B5E">
              <w:t xml:space="preserve"> capital expenditure claim—stakeholder notice and sample list</w:t>
            </w:r>
          </w:p>
        </w:tc>
      </w:tr>
      <w:tr w:rsidR="004B2A36" w:rsidRPr="004416CF" w14:paraId="5FDE16FB" w14:textId="77777777" w:rsidTr="00542A8D">
        <w:trPr>
          <w:cantSplit/>
        </w:trPr>
        <w:tc>
          <w:tcPr>
            <w:tcW w:w="846" w:type="pct"/>
            <w:tcBorders>
              <w:top w:val="dotted" w:sz="4" w:space="0" w:color="58595B"/>
              <w:bottom w:val="dotted" w:sz="4" w:space="0" w:color="58595B"/>
            </w:tcBorders>
            <w:shd w:val="clear" w:color="auto" w:fill="auto"/>
          </w:tcPr>
          <w:p w14:paraId="4BC994A9" w14:textId="79CBCE2B" w:rsidR="004B2A36"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0F58E1E0" w14:textId="530DD35E" w:rsidR="004B2A36" w:rsidRDefault="000E01EE" w:rsidP="004B2A36">
            <w:pPr>
              <w:pStyle w:val="QCATableText"/>
            </w:pPr>
            <w:r>
              <w:t>2019 DBCT draft access undertaking</w:t>
            </w:r>
            <w:r w:rsidR="00550D50">
              <w:t>,</w:t>
            </w:r>
            <w:r w:rsidR="00496E0E">
              <w:t xml:space="preserve"> </w:t>
            </w:r>
            <w:r>
              <w:t>Part A: decision report</w:t>
            </w:r>
            <w:r w:rsidR="00496E0E" w:rsidRPr="00496E0E">
              <w:t>—draft decision</w:t>
            </w:r>
          </w:p>
        </w:tc>
      </w:tr>
      <w:tr w:rsidR="004B2A36" w:rsidRPr="004416CF" w14:paraId="12FA25A7" w14:textId="77777777" w:rsidTr="00542A8D">
        <w:trPr>
          <w:cantSplit/>
        </w:trPr>
        <w:tc>
          <w:tcPr>
            <w:tcW w:w="846" w:type="pct"/>
            <w:tcBorders>
              <w:top w:val="dotted" w:sz="4" w:space="0" w:color="58595B"/>
              <w:bottom w:val="dotted" w:sz="4" w:space="0" w:color="58595B"/>
            </w:tcBorders>
            <w:shd w:val="clear" w:color="auto" w:fill="auto"/>
          </w:tcPr>
          <w:p w14:paraId="3661BAE4" w14:textId="532C480D" w:rsidR="004B2A36"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5E4B8A01" w14:textId="4CE8E4A1" w:rsidR="004B2A36" w:rsidRDefault="000E01EE" w:rsidP="004B2A36">
            <w:pPr>
              <w:pStyle w:val="QCATableText"/>
            </w:pPr>
            <w:r>
              <w:t>2019 DBCT draft access undertaking</w:t>
            </w:r>
            <w:r w:rsidR="00550D50">
              <w:t xml:space="preserve">, </w:t>
            </w:r>
            <w:r w:rsidR="00550D50" w:rsidRPr="00550D50">
              <w:t>Part B: arbitration guideline</w:t>
            </w:r>
            <w:r w:rsidR="00496E0E">
              <w:t>—</w:t>
            </w:r>
            <w:r>
              <w:t>draft decision</w:t>
            </w:r>
          </w:p>
        </w:tc>
      </w:tr>
      <w:tr w:rsidR="00466525" w:rsidRPr="004416CF" w14:paraId="6243665A" w14:textId="77777777" w:rsidTr="00542A8D">
        <w:trPr>
          <w:cantSplit/>
        </w:trPr>
        <w:tc>
          <w:tcPr>
            <w:tcW w:w="846" w:type="pct"/>
            <w:tcBorders>
              <w:top w:val="dotted" w:sz="4" w:space="0" w:color="58595B"/>
              <w:bottom w:val="dotted" w:sz="4" w:space="0" w:color="58595B"/>
            </w:tcBorders>
            <w:shd w:val="clear" w:color="auto" w:fill="auto"/>
          </w:tcPr>
          <w:p w14:paraId="36C44577" w14:textId="238DF6C6" w:rsidR="00466525"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22A9AC4A" w14:textId="1D97E4CF" w:rsidR="00466525" w:rsidRDefault="000E01EE" w:rsidP="004B2A36">
            <w:pPr>
              <w:pStyle w:val="QCATableText"/>
            </w:pPr>
            <w:r>
              <w:t>2019 DBCT draft access undertaking</w:t>
            </w:r>
            <w:r w:rsidR="00496E0E">
              <w:t>—</w:t>
            </w:r>
            <w:r>
              <w:t>draft decision—notice of submissions on draft decision and expiry of assessment timeframe</w:t>
            </w:r>
          </w:p>
        </w:tc>
      </w:tr>
      <w:tr w:rsidR="004B2A36" w:rsidRPr="004416CF" w14:paraId="681EEBC6" w14:textId="77777777" w:rsidTr="00542A8D">
        <w:trPr>
          <w:cantSplit/>
        </w:trPr>
        <w:tc>
          <w:tcPr>
            <w:tcW w:w="846" w:type="pct"/>
            <w:tcBorders>
              <w:top w:val="dotted" w:sz="4" w:space="0" w:color="58595B"/>
              <w:bottom w:val="dotted" w:sz="4" w:space="0" w:color="58595B"/>
            </w:tcBorders>
            <w:shd w:val="clear" w:color="auto" w:fill="auto"/>
          </w:tcPr>
          <w:p w14:paraId="7D9A3B5B" w14:textId="33782AB6" w:rsidR="004B2A36"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20E40EF7" w14:textId="67319763" w:rsidR="004B2A36" w:rsidRDefault="000E01EE" w:rsidP="004B2A36">
            <w:pPr>
              <w:pStyle w:val="QCATableText"/>
            </w:pPr>
            <w:r>
              <w:t>2020–21 Notified prices: supplementary pricing review</w:t>
            </w:r>
            <w:r w:rsidR="00550D50">
              <w:t>—</w:t>
            </w:r>
            <w:r>
              <w:t>draft determination</w:t>
            </w:r>
          </w:p>
        </w:tc>
      </w:tr>
      <w:tr w:rsidR="004B2A36" w:rsidRPr="004416CF" w14:paraId="0E60EA19" w14:textId="77777777" w:rsidTr="00542A8D">
        <w:trPr>
          <w:cantSplit/>
        </w:trPr>
        <w:tc>
          <w:tcPr>
            <w:tcW w:w="846" w:type="pct"/>
            <w:tcBorders>
              <w:top w:val="dotted" w:sz="4" w:space="0" w:color="58595B"/>
              <w:bottom w:val="dotted" w:sz="4" w:space="0" w:color="58595B"/>
            </w:tcBorders>
            <w:shd w:val="clear" w:color="auto" w:fill="auto"/>
          </w:tcPr>
          <w:p w14:paraId="282FC740" w14:textId="463CF95A" w:rsidR="004B2A36"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4BFB9A72" w14:textId="5FFFE012" w:rsidR="004B2A36" w:rsidRDefault="000E01EE" w:rsidP="004B2A36">
            <w:pPr>
              <w:pStyle w:val="QCATableText"/>
            </w:pPr>
            <w:r>
              <w:t>2020–21 Notified prices: supplementary pricing review</w:t>
            </w:r>
            <w:r w:rsidR="00550D50">
              <w:t>—</w:t>
            </w:r>
            <w:r>
              <w:t>draft determination</w:t>
            </w:r>
            <w:r w:rsidR="00550D50">
              <w:t xml:space="preserve">: </w:t>
            </w:r>
            <w:r>
              <w:t>technical appendices</w:t>
            </w:r>
          </w:p>
        </w:tc>
      </w:tr>
      <w:tr w:rsidR="004B2A36" w:rsidRPr="004416CF" w14:paraId="6BA67BB3" w14:textId="77777777" w:rsidTr="00542A8D">
        <w:trPr>
          <w:cantSplit/>
        </w:trPr>
        <w:tc>
          <w:tcPr>
            <w:tcW w:w="846" w:type="pct"/>
            <w:tcBorders>
              <w:top w:val="dotted" w:sz="4" w:space="0" w:color="58595B"/>
              <w:bottom w:val="dotted" w:sz="4" w:space="0" w:color="58595B"/>
            </w:tcBorders>
            <w:shd w:val="clear" w:color="auto" w:fill="auto"/>
          </w:tcPr>
          <w:p w14:paraId="6617ECE6" w14:textId="2A3E5844" w:rsidR="004B2A36" w:rsidRPr="00F50DD2"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3EE82A2B" w14:textId="275A10B4" w:rsidR="004B2A36" w:rsidRPr="00C61B43" w:rsidRDefault="000E01EE" w:rsidP="003B658F">
            <w:pPr>
              <w:pStyle w:val="QCATableText"/>
            </w:pPr>
            <w:r>
              <w:t>2020–21 Notified prices: supplementary pricing review</w:t>
            </w:r>
            <w:r w:rsidR="00550D50">
              <w:t>—</w:t>
            </w:r>
            <w:r>
              <w:t>draft determination</w:t>
            </w:r>
            <w:r w:rsidR="00550D50">
              <w:t xml:space="preserve">: </w:t>
            </w:r>
            <w:r>
              <w:t>information booklet</w:t>
            </w:r>
          </w:p>
        </w:tc>
      </w:tr>
      <w:tr w:rsidR="004B2A36" w:rsidRPr="004416CF" w14:paraId="0C601BDA" w14:textId="77777777" w:rsidTr="00FE27A8">
        <w:trPr>
          <w:cantSplit/>
        </w:trPr>
        <w:tc>
          <w:tcPr>
            <w:tcW w:w="846" w:type="pct"/>
            <w:tcBorders>
              <w:top w:val="dotted" w:sz="4" w:space="0" w:color="58595B"/>
              <w:bottom w:val="dotted" w:sz="4" w:space="0" w:color="58595B"/>
            </w:tcBorders>
            <w:shd w:val="clear" w:color="auto" w:fill="auto"/>
          </w:tcPr>
          <w:p w14:paraId="17E2E0C2" w14:textId="61B5C327" w:rsidR="004B2A36" w:rsidRDefault="000E01EE" w:rsidP="004B2A36">
            <w:pPr>
              <w:pStyle w:val="QCATableText"/>
            </w:pPr>
            <w:r>
              <w:lastRenderedPageBreak/>
              <w:t>August 2020</w:t>
            </w:r>
          </w:p>
        </w:tc>
        <w:tc>
          <w:tcPr>
            <w:tcW w:w="4154" w:type="pct"/>
            <w:tcBorders>
              <w:top w:val="dotted" w:sz="4" w:space="0" w:color="58595B"/>
              <w:bottom w:val="dotted" w:sz="4" w:space="0" w:color="58595B"/>
            </w:tcBorders>
            <w:shd w:val="clear" w:color="auto" w:fill="auto"/>
          </w:tcPr>
          <w:p w14:paraId="75D52101" w14:textId="28A33EAA" w:rsidR="004B2A36" w:rsidRDefault="000E01EE" w:rsidP="003B658F">
            <w:pPr>
              <w:pStyle w:val="QCATableText"/>
            </w:pPr>
            <w:r>
              <w:t>Aurizon Network’s Meteor Downs South Pricing DAAU—notice of investigation</w:t>
            </w:r>
          </w:p>
        </w:tc>
      </w:tr>
      <w:tr w:rsidR="004B2A36" w:rsidRPr="004416CF" w14:paraId="649D0440" w14:textId="77777777" w:rsidTr="00FE27A8">
        <w:trPr>
          <w:cantSplit/>
        </w:trPr>
        <w:tc>
          <w:tcPr>
            <w:tcW w:w="846" w:type="pct"/>
            <w:tcBorders>
              <w:top w:val="dotted" w:sz="4" w:space="0" w:color="58595B"/>
              <w:bottom w:val="dotted" w:sz="4" w:space="0" w:color="58595B"/>
            </w:tcBorders>
            <w:shd w:val="clear" w:color="auto" w:fill="auto"/>
          </w:tcPr>
          <w:p w14:paraId="5D99B787" w14:textId="17EAFE73" w:rsidR="004B2A36"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6D22A190" w14:textId="0CB47734" w:rsidR="004B2A36" w:rsidRDefault="000E01EE" w:rsidP="008F4408">
            <w:pPr>
              <w:pStyle w:val="QCATableText"/>
            </w:pPr>
            <w:r>
              <w:t>Aurizon Network’s Meteor Downs South Pricing DAAU—notice of time periods</w:t>
            </w:r>
          </w:p>
        </w:tc>
      </w:tr>
      <w:tr w:rsidR="004B2A36" w:rsidRPr="004416CF" w14:paraId="6D2F81E6" w14:textId="77777777" w:rsidTr="00FE27A8">
        <w:trPr>
          <w:cantSplit/>
        </w:trPr>
        <w:tc>
          <w:tcPr>
            <w:tcW w:w="846" w:type="pct"/>
            <w:tcBorders>
              <w:top w:val="dotted" w:sz="4" w:space="0" w:color="58595B"/>
              <w:bottom w:val="dotted" w:sz="4" w:space="0" w:color="58595B"/>
            </w:tcBorders>
            <w:shd w:val="clear" w:color="auto" w:fill="auto"/>
          </w:tcPr>
          <w:p w14:paraId="77D06F3A" w14:textId="28A75AAD" w:rsidR="004B2A36" w:rsidRDefault="000E01EE" w:rsidP="004B2A36">
            <w:pPr>
              <w:pStyle w:val="QCATableText"/>
            </w:pPr>
            <w:r>
              <w:t>August 2020</w:t>
            </w:r>
          </w:p>
        </w:tc>
        <w:tc>
          <w:tcPr>
            <w:tcW w:w="4154" w:type="pct"/>
            <w:tcBorders>
              <w:top w:val="dotted" w:sz="4" w:space="0" w:color="58595B"/>
              <w:bottom w:val="dotted" w:sz="4" w:space="0" w:color="58595B"/>
            </w:tcBorders>
            <w:shd w:val="clear" w:color="auto" w:fill="auto"/>
          </w:tcPr>
          <w:p w14:paraId="1247F285" w14:textId="5885BCFB" w:rsidR="004B2A36" w:rsidRDefault="000E01EE" w:rsidP="004B2A36">
            <w:pPr>
              <w:pStyle w:val="QCATableText"/>
            </w:pPr>
            <w:r>
              <w:t>Aurizon Network endorsed variation events 2020–21: AT5 reference tariff and QCA levy—final decision</w:t>
            </w:r>
          </w:p>
        </w:tc>
      </w:tr>
      <w:tr w:rsidR="004B2A36" w:rsidRPr="004416CF" w14:paraId="2444EE08" w14:textId="77777777" w:rsidTr="00FE27A8">
        <w:trPr>
          <w:cantSplit/>
        </w:trPr>
        <w:tc>
          <w:tcPr>
            <w:tcW w:w="846" w:type="pct"/>
            <w:tcBorders>
              <w:top w:val="dotted" w:sz="4" w:space="0" w:color="58595B"/>
              <w:bottom w:val="dotted" w:sz="4" w:space="0" w:color="58595B"/>
            </w:tcBorders>
            <w:shd w:val="clear" w:color="auto" w:fill="auto"/>
          </w:tcPr>
          <w:p w14:paraId="48690DA4" w14:textId="42F05B86" w:rsidR="004B2A36" w:rsidRDefault="006B5865" w:rsidP="004B2A36">
            <w:pPr>
              <w:pStyle w:val="QCATableText"/>
            </w:pPr>
            <w:r>
              <w:t>August 2020</w:t>
            </w:r>
          </w:p>
        </w:tc>
        <w:tc>
          <w:tcPr>
            <w:tcW w:w="4154" w:type="pct"/>
            <w:tcBorders>
              <w:top w:val="dotted" w:sz="4" w:space="0" w:color="58595B"/>
              <w:bottom w:val="dotted" w:sz="4" w:space="0" w:color="58595B"/>
            </w:tcBorders>
            <w:shd w:val="clear" w:color="auto" w:fill="auto"/>
          </w:tcPr>
          <w:p w14:paraId="013D35C8" w14:textId="07BAD1DC" w:rsidR="004B2A36" w:rsidRDefault="000E01EE" w:rsidP="00F50DD2">
            <w:pPr>
              <w:pStyle w:val="QCATableText"/>
            </w:pPr>
            <w:r>
              <w:t>2020–21 Notified prices: supplementary pricing review—stakeholder notice</w:t>
            </w:r>
          </w:p>
        </w:tc>
      </w:tr>
      <w:tr w:rsidR="004B2A36" w:rsidRPr="004416CF" w14:paraId="59EAB2C1" w14:textId="77777777" w:rsidTr="00FE27A8">
        <w:trPr>
          <w:cantSplit/>
        </w:trPr>
        <w:tc>
          <w:tcPr>
            <w:tcW w:w="846" w:type="pct"/>
            <w:tcBorders>
              <w:top w:val="dotted" w:sz="4" w:space="0" w:color="58595B"/>
              <w:bottom w:val="dotted" w:sz="4" w:space="0" w:color="58595B"/>
            </w:tcBorders>
            <w:shd w:val="clear" w:color="auto" w:fill="auto"/>
          </w:tcPr>
          <w:p w14:paraId="01AECB62" w14:textId="2B484655" w:rsidR="004B2A36" w:rsidRDefault="006B5865" w:rsidP="004B2A36">
            <w:pPr>
              <w:pStyle w:val="QCATableText"/>
            </w:pPr>
            <w:r>
              <w:t>July 2020</w:t>
            </w:r>
          </w:p>
        </w:tc>
        <w:tc>
          <w:tcPr>
            <w:tcW w:w="4154" w:type="pct"/>
            <w:tcBorders>
              <w:top w:val="dotted" w:sz="4" w:space="0" w:color="58595B"/>
              <w:bottom w:val="dotted" w:sz="4" w:space="0" w:color="58595B"/>
            </w:tcBorders>
            <w:shd w:val="clear" w:color="auto" w:fill="auto"/>
          </w:tcPr>
          <w:p w14:paraId="29BD3017" w14:textId="6E83728F" w:rsidR="004B2A36" w:rsidRDefault="006B5865" w:rsidP="00F50DD2">
            <w:pPr>
              <w:pStyle w:val="QCATableText"/>
            </w:pPr>
            <w:r>
              <w:t>Aurizon Network’s RAB roll-forward—decision</w:t>
            </w:r>
          </w:p>
        </w:tc>
      </w:tr>
      <w:tr w:rsidR="004B2A36" w:rsidRPr="004416CF" w14:paraId="04552715" w14:textId="77777777" w:rsidTr="00FE27A8">
        <w:trPr>
          <w:cantSplit/>
        </w:trPr>
        <w:tc>
          <w:tcPr>
            <w:tcW w:w="846" w:type="pct"/>
            <w:tcBorders>
              <w:top w:val="dotted" w:sz="4" w:space="0" w:color="58595B"/>
              <w:bottom w:val="dotted" w:sz="4" w:space="0" w:color="58595B"/>
            </w:tcBorders>
            <w:shd w:val="clear" w:color="auto" w:fill="auto"/>
          </w:tcPr>
          <w:p w14:paraId="0C6351E8" w14:textId="07E2E046" w:rsidR="004B2A36" w:rsidRDefault="006B5865" w:rsidP="004B2A36">
            <w:pPr>
              <w:pStyle w:val="QCATableText"/>
            </w:pPr>
            <w:r>
              <w:t>July 2020</w:t>
            </w:r>
          </w:p>
        </w:tc>
        <w:tc>
          <w:tcPr>
            <w:tcW w:w="4154" w:type="pct"/>
            <w:tcBorders>
              <w:top w:val="dotted" w:sz="4" w:space="0" w:color="58595B"/>
              <w:bottom w:val="dotted" w:sz="4" w:space="0" w:color="58595B"/>
            </w:tcBorders>
            <w:shd w:val="clear" w:color="auto" w:fill="auto"/>
          </w:tcPr>
          <w:p w14:paraId="5949EEA5" w14:textId="453F9CF0" w:rsidR="004B2A36" w:rsidRDefault="006B5865" w:rsidP="004B2A36">
            <w:pPr>
              <w:pStyle w:val="QCATableText"/>
            </w:pPr>
            <w:r w:rsidRPr="006B5865">
              <w:t>SEQ retail electricity market monitoring 2019</w:t>
            </w:r>
            <w:r w:rsidR="00550D50">
              <w:t>–</w:t>
            </w:r>
            <w:r w:rsidRPr="006B5865">
              <w:t>20 quarter 4 report</w:t>
            </w:r>
          </w:p>
        </w:tc>
      </w:tr>
      <w:tr w:rsidR="004B2A36" w:rsidRPr="004416CF" w14:paraId="076FE616" w14:textId="77777777" w:rsidTr="00FE27A8">
        <w:trPr>
          <w:cantSplit/>
        </w:trPr>
        <w:tc>
          <w:tcPr>
            <w:tcW w:w="846" w:type="pct"/>
            <w:tcBorders>
              <w:top w:val="dotted" w:sz="4" w:space="0" w:color="58595B"/>
              <w:bottom w:val="dotted" w:sz="4" w:space="0" w:color="58595B"/>
            </w:tcBorders>
            <w:shd w:val="clear" w:color="auto" w:fill="auto"/>
          </w:tcPr>
          <w:p w14:paraId="2435D374" w14:textId="209F4577" w:rsidR="004B2A36" w:rsidRDefault="006B5865" w:rsidP="004B2A36">
            <w:pPr>
              <w:pStyle w:val="QCATableText"/>
            </w:pPr>
            <w:r>
              <w:t>July 2020</w:t>
            </w:r>
          </w:p>
        </w:tc>
        <w:tc>
          <w:tcPr>
            <w:tcW w:w="4154" w:type="pct"/>
            <w:tcBorders>
              <w:top w:val="dotted" w:sz="4" w:space="0" w:color="58595B"/>
              <w:bottom w:val="dotted" w:sz="4" w:space="0" w:color="58595B"/>
            </w:tcBorders>
            <w:shd w:val="clear" w:color="auto" w:fill="auto"/>
          </w:tcPr>
          <w:p w14:paraId="3FFDD20C" w14:textId="34746AF8" w:rsidR="004B2A36" w:rsidDel="00BC72CD" w:rsidRDefault="006B5865" w:rsidP="004B2A36">
            <w:pPr>
              <w:pStyle w:val="QCATableText"/>
            </w:pPr>
            <w:r w:rsidRPr="006B5865">
              <w:t>SEQ retail electricity market monitoring 2019</w:t>
            </w:r>
            <w:r w:rsidR="00550D50">
              <w:t>–</w:t>
            </w:r>
            <w:r w:rsidRPr="006B5865">
              <w:t>20 quarter 4 report—</w:t>
            </w:r>
            <w:r>
              <w:t>public dataset</w:t>
            </w:r>
          </w:p>
        </w:tc>
      </w:tr>
      <w:tr w:rsidR="004B2A36" w:rsidRPr="004416CF" w14:paraId="0FCF7960" w14:textId="77777777" w:rsidTr="00FE27A8">
        <w:trPr>
          <w:cantSplit/>
        </w:trPr>
        <w:tc>
          <w:tcPr>
            <w:tcW w:w="846" w:type="pct"/>
            <w:tcBorders>
              <w:top w:val="dotted" w:sz="4" w:space="0" w:color="58595B"/>
              <w:bottom w:val="dotted" w:sz="4" w:space="0" w:color="58595B"/>
            </w:tcBorders>
            <w:shd w:val="clear" w:color="auto" w:fill="auto"/>
          </w:tcPr>
          <w:p w14:paraId="6ADA97A8" w14:textId="57D3CB51" w:rsidR="004B2A36" w:rsidRDefault="006B5865" w:rsidP="004B2A36">
            <w:pPr>
              <w:pStyle w:val="QCATableText"/>
            </w:pPr>
            <w:r>
              <w:t>July 2020</w:t>
            </w:r>
          </w:p>
        </w:tc>
        <w:tc>
          <w:tcPr>
            <w:tcW w:w="4154" w:type="pct"/>
            <w:tcBorders>
              <w:top w:val="dotted" w:sz="4" w:space="0" w:color="58595B"/>
              <w:bottom w:val="dotted" w:sz="4" w:space="0" w:color="58595B"/>
            </w:tcBorders>
            <w:shd w:val="clear" w:color="auto" w:fill="auto"/>
          </w:tcPr>
          <w:p w14:paraId="5EF8F4AD" w14:textId="71388661" w:rsidR="004B2A36" w:rsidDel="00BC72CD" w:rsidRDefault="006B5865" w:rsidP="008F4408">
            <w:pPr>
              <w:pStyle w:val="QCATableText"/>
            </w:pPr>
            <w:r>
              <w:t>SEQ retail electricity market monitoring 2019</w:t>
            </w:r>
            <w:r w:rsidR="00550D50">
              <w:t>–</w:t>
            </w:r>
            <w:r>
              <w:t>20 quarter 4 report—media release</w:t>
            </w:r>
          </w:p>
        </w:tc>
      </w:tr>
      <w:tr w:rsidR="004B2A36" w:rsidRPr="004416CF" w14:paraId="661138C7" w14:textId="77777777" w:rsidTr="00FE27A8">
        <w:trPr>
          <w:cantSplit/>
        </w:trPr>
        <w:tc>
          <w:tcPr>
            <w:tcW w:w="846" w:type="pct"/>
            <w:tcBorders>
              <w:top w:val="dotted" w:sz="4" w:space="0" w:color="58595B"/>
              <w:bottom w:val="dotted" w:sz="4" w:space="0" w:color="58595B"/>
            </w:tcBorders>
            <w:shd w:val="clear" w:color="auto" w:fill="auto"/>
          </w:tcPr>
          <w:p w14:paraId="25701A43" w14:textId="70BF37B6" w:rsidR="004B2A36" w:rsidRDefault="006B5865" w:rsidP="004B2A36">
            <w:pPr>
              <w:pStyle w:val="QCATableText"/>
            </w:pPr>
            <w:r>
              <w:t>July 2020</w:t>
            </w:r>
          </w:p>
        </w:tc>
        <w:tc>
          <w:tcPr>
            <w:tcW w:w="4154" w:type="pct"/>
            <w:tcBorders>
              <w:top w:val="dotted" w:sz="4" w:space="0" w:color="58595B"/>
              <w:bottom w:val="dotted" w:sz="4" w:space="0" w:color="58595B"/>
            </w:tcBorders>
            <w:shd w:val="clear" w:color="auto" w:fill="auto"/>
          </w:tcPr>
          <w:p w14:paraId="58AC53A1" w14:textId="210FAB57" w:rsidR="004B2A36" w:rsidRPr="009302DD" w:rsidDel="00BC72CD" w:rsidRDefault="006B5865" w:rsidP="004B2A36">
            <w:pPr>
              <w:pStyle w:val="QCATableText"/>
            </w:pPr>
            <w:r>
              <w:t>Queensland Rail’s 2020 draft access undertaking—final approval letter</w:t>
            </w:r>
          </w:p>
        </w:tc>
      </w:tr>
    </w:tbl>
    <w:p w14:paraId="366179FA" w14:textId="77777777" w:rsidR="00AA0A12" w:rsidRPr="004416CF" w:rsidRDefault="00AA0A12" w:rsidP="00AA0A12">
      <w:pPr>
        <w:pStyle w:val="Caption"/>
        <w:rPr>
          <w:color w:val="3B3838" w:themeColor="background2" w:themeShade="40"/>
        </w:rPr>
      </w:pPr>
    </w:p>
    <w:p w14:paraId="3F45E974" w14:textId="28A15C33" w:rsidR="00D91007" w:rsidRDefault="00D91007" w:rsidP="00542A8D">
      <w:pPr>
        <w:pStyle w:val="Heading3"/>
        <w:spacing w:before="0" w:after="0"/>
      </w:pPr>
    </w:p>
    <w:p w14:paraId="515AE6EB" w14:textId="2759AFC5" w:rsidR="0075313D" w:rsidRDefault="0075313D" w:rsidP="0075313D">
      <w:pPr>
        <w:pStyle w:val="QCABodyText"/>
      </w:pPr>
    </w:p>
    <w:p w14:paraId="28392719" w14:textId="77777777" w:rsidR="00957026" w:rsidRDefault="00957026">
      <w:pPr>
        <w:spacing w:before="0" w:after="160" w:line="259" w:lineRule="auto"/>
      </w:pPr>
      <w:r>
        <w:br w:type="page"/>
      </w:r>
    </w:p>
    <w:p w14:paraId="36B8EFB5" w14:textId="1E9A804F" w:rsidR="0014601C" w:rsidRDefault="0014601C">
      <w:pPr>
        <w:spacing w:before="0" w:after="160" w:line="259" w:lineRule="auto"/>
        <w:rPr>
          <w:color w:val="3B3838" w:themeColor="background2" w:themeShade="40"/>
        </w:rPr>
      </w:pPr>
      <w:r>
        <w:lastRenderedPageBreak/>
        <w:br w:type="page"/>
      </w:r>
    </w:p>
    <w:p w14:paraId="6ADD56EE" w14:textId="133F7DC2" w:rsidR="0075313D" w:rsidRDefault="0075313D">
      <w:pPr>
        <w:spacing w:before="0" w:after="160" w:line="259" w:lineRule="auto"/>
        <w:rPr>
          <w:i/>
          <w:iCs/>
          <w:color w:val="000000" w:themeColor="text1"/>
        </w:rPr>
      </w:pPr>
      <w:bookmarkStart w:id="189" w:name="_Toc360792476"/>
      <w:bookmarkStart w:id="190" w:name="_Toc180219413"/>
    </w:p>
    <w:p w14:paraId="39B2C478" w14:textId="77777777" w:rsidR="00F653F7" w:rsidRDefault="00F653F7" w:rsidP="00F653F7">
      <w:pPr>
        <w:pStyle w:val="Quote"/>
      </w:pPr>
    </w:p>
    <w:p w14:paraId="485CDAA7" w14:textId="77777777" w:rsidR="00F653F7" w:rsidRDefault="00F653F7" w:rsidP="00F653F7">
      <w:pPr>
        <w:pStyle w:val="Quote"/>
      </w:pPr>
    </w:p>
    <w:p w14:paraId="2D3D0B9D" w14:textId="77777777" w:rsidR="00F653F7" w:rsidRDefault="00F653F7" w:rsidP="00F653F7">
      <w:pPr>
        <w:pStyle w:val="Quote"/>
      </w:pPr>
    </w:p>
    <w:p w14:paraId="19F362CD" w14:textId="77777777" w:rsidR="00F653F7" w:rsidRDefault="00F653F7" w:rsidP="00F653F7">
      <w:pPr>
        <w:pStyle w:val="Quote"/>
      </w:pPr>
    </w:p>
    <w:p w14:paraId="29220101" w14:textId="77777777" w:rsidR="00571762" w:rsidRDefault="00571762" w:rsidP="00300375">
      <w:pPr>
        <w:pStyle w:val="QCABodyText"/>
      </w:pPr>
    </w:p>
    <w:p w14:paraId="188D557D" w14:textId="77777777" w:rsidR="00571762" w:rsidRDefault="00571762" w:rsidP="00300375">
      <w:pPr>
        <w:pStyle w:val="QCABodyText"/>
      </w:pPr>
    </w:p>
    <w:p w14:paraId="011552E3" w14:textId="77777777" w:rsidR="00571762" w:rsidRDefault="00571762" w:rsidP="00300375">
      <w:pPr>
        <w:pStyle w:val="QCABodyText"/>
      </w:pPr>
    </w:p>
    <w:p w14:paraId="2A1983F7" w14:textId="77777777" w:rsidR="00571762" w:rsidRDefault="00571762" w:rsidP="00300375">
      <w:pPr>
        <w:pStyle w:val="QCABodyText"/>
      </w:pPr>
    </w:p>
    <w:p w14:paraId="2FE868BC" w14:textId="77777777" w:rsidR="00571762" w:rsidRDefault="00571762" w:rsidP="00300375">
      <w:pPr>
        <w:pStyle w:val="QCABodyText"/>
      </w:pPr>
    </w:p>
    <w:p w14:paraId="0206B6A6" w14:textId="77777777" w:rsidR="00571762" w:rsidRDefault="00571762" w:rsidP="00300375">
      <w:pPr>
        <w:pStyle w:val="QCABodyText"/>
      </w:pPr>
    </w:p>
    <w:p w14:paraId="5699BEEE" w14:textId="77777777" w:rsidR="00571762" w:rsidRDefault="00571762" w:rsidP="00300375">
      <w:pPr>
        <w:pStyle w:val="QCABodyText"/>
      </w:pPr>
    </w:p>
    <w:p w14:paraId="633E90A2" w14:textId="77777777" w:rsidR="00571762" w:rsidRDefault="00571762" w:rsidP="00300375">
      <w:pPr>
        <w:pStyle w:val="QCABodyText"/>
      </w:pPr>
    </w:p>
    <w:p w14:paraId="723F79AE" w14:textId="77777777" w:rsidR="00571762" w:rsidRDefault="00571762" w:rsidP="00300375">
      <w:pPr>
        <w:pStyle w:val="QCABodyText"/>
      </w:pPr>
    </w:p>
    <w:p w14:paraId="082BF875" w14:textId="77777777" w:rsidR="00571762" w:rsidRDefault="00571762" w:rsidP="00300375">
      <w:pPr>
        <w:pStyle w:val="QCABodyText"/>
      </w:pPr>
    </w:p>
    <w:p w14:paraId="19E757E1" w14:textId="77777777" w:rsidR="00571762" w:rsidRDefault="00571762" w:rsidP="00300375">
      <w:pPr>
        <w:pStyle w:val="QCABodyText"/>
      </w:pPr>
    </w:p>
    <w:p w14:paraId="5B230F21" w14:textId="6E912458" w:rsidR="00661BFD" w:rsidRPr="0044546B" w:rsidRDefault="00661BFD" w:rsidP="00300375">
      <w:pPr>
        <w:pStyle w:val="QCABodyText"/>
      </w:pPr>
    </w:p>
    <w:bookmarkStart w:id="191" w:name="_Toc487614520"/>
    <w:bookmarkStart w:id="192" w:name="_Toc520282162"/>
    <w:bookmarkStart w:id="193" w:name="_Toc80792966"/>
    <w:p w14:paraId="6B084E43" w14:textId="57ABD640" w:rsidR="00872358" w:rsidRPr="00731D6C" w:rsidRDefault="00043097" w:rsidP="00B3577E">
      <w:pPr>
        <w:pStyle w:val="Heading1"/>
        <w:pBdr>
          <w:bottom w:val="none" w:sz="0" w:space="0" w:color="auto"/>
        </w:pBdr>
        <w:ind w:left="142"/>
        <w:rPr>
          <w:sz w:val="96"/>
          <w:szCs w:val="96"/>
        </w:rPr>
      </w:pPr>
      <w:r w:rsidRPr="00731D6C">
        <w:rPr>
          <w:noProof/>
          <w:sz w:val="96"/>
          <w:szCs w:val="96"/>
          <w:lang w:eastAsia="en-AU"/>
        </w:rPr>
        <mc:AlternateContent>
          <mc:Choice Requires="wps">
            <w:drawing>
              <wp:anchor distT="0" distB="0" distL="114300" distR="114300" simplePos="0" relativeHeight="251767808" behindDoc="0" locked="0" layoutInCell="1" allowOverlap="1" wp14:anchorId="69E1D30C" wp14:editId="2AD41E2A">
                <wp:simplePos x="0" y="0"/>
                <wp:positionH relativeFrom="column">
                  <wp:posOffset>1198880</wp:posOffset>
                </wp:positionH>
                <wp:positionV relativeFrom="paragraph">
                  <wp:posOffset>8521065</wp:posOffset>
                </wp:positionV>
                <wp:extent cx="3500755" cy="224790"/>
                <wp:effectExtent l="13970" t="11430" r="9525" b="11430"/>
                <wp:wrapNone/>
                <wp:docPr id="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755" cy="2247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7B927" id="Rectangle 56" o:spid="_x0000_s1026" style="position:absolute;margin-left:94.4pt;margin-top:670.95pt;width:275.65pt;height:1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" strokecolor="white"/>
            </w:pict>
          </mc:Fallback>
        </mc:AlternateContent>
      </w:r>
      <w:r w:rsidR="00AB01FB" w:rsidRPr="00731D6C">
        <w:rPr>
          <w:sz w:val="96"/>
          <w:szCs w:val="96"/>
        </w:rPr>
        <w:t xml:space="preserve">Financial </w:t>
      </w:r>
      <w:r w:rsidR="00B3577E" w:rsidRPr="00731D6C">
        <w:rPr>
          <w:sz w:val="96"/>
          <w:szCs w:val="96"/>
        </w:rPr>
        <w:t>s</w:t>
      </w:r>
      <w:r w:rsidR="00AB01FB" w:rsidRPr="00731D6C">
        <w:rPr>
          <w:sz w:val="96"/>
          <w:szCs w:val="96"/>
        </w:rPr>
        <w:t>tatements</w:t>
      </w:r>
      <w:bookmarkEnd w:id="191"/>
      <w:bookmarkEnd w:id="192"/>
      <w:bookmarkEnd w:id="193"/>
    </w:p>
    <w:p w14:paraId="38AF420C" w14:textId="77777777" w:rsidR="00164B6E" w:rsidRDefault="00164B6E" w:rsidP="00571762">
      <w:pPr>
        <w:pStyle w:val="QCAContents"/>
        <w:rPr>
          <w:color w:val="3B3838" w:themeColor="background2" w:themeShade="40"/>
        </w:rPr>
        <w:sectPr w:rsidR="00164B6E" w:rsidSect="004058E9">
          <w:footerReference w:type="default" r:id="rId47"/>
          <w:pgSz w:w="11907" w:h="16840" w:code="9"/>
          <w:pgMar w:top="1361" w:right="851" w:bottom="1021" w:left="1418" w:header="510" w:footer="170" w:gutter="0"/>
          <w:cols w:space="720"/>
          <w:docGrid w:linePitch="272"/>
        </w:sectPr>
      </w:pPr>
    </w:p>
    <w:p w14:paraId="36859ACE" w14:textId="77777777" w:rsidR="00300375" w:rsidRDefault="00300375" w:rsidP="00731D6C">
      <w:pPr>
        <w:pStyle w:val="Heading1"/>
        <w:pBdr>
          <w:bottom w:val="single" w:sz="4" w:space="1" w:color="auto"/>
        </w:pBdr>
      </w:pPr>
    </w:p>
    <w:p w14:paraId="3E909F83" w14:textId="77777777" w:rsidR="00300375" w:rsidRDefault="00300375" w:rsidP="00731D6C">
      <w:pPr>
        <w:pStyle w:val="Heading1"/>
        <w:pBdr>
          <w:bottom w:val="single" w:sz="4" w:space="1" w:color="auto"/>
        </w:pBdr>
      </w:pPr>
    </w:p>
    <w:p w14:paraId="4D4433CA" w14:textId="77777777" w:rsidR="00300375" w:rsidRDefault="00300375" w:rsidP="00731D6C">
      <w:pPr>
        <w:pStyle w:val="Heading1"/>
        <w:pBdr>
          <w:bottom w:val="single" w:sz="4" w:space="1" w:color="auto"/>
        </w:pBdr>
      </w:pPr>
    </w:p>
    <w:p w14:paraId="4C83A5FF" w14:textId="77777777" w:rsidR="00300375" w:rsidRDefault="00300375" w:rsidP="00731D6C">
      <w:pPr>
        <w:pStyle w:val="Heading1"/>
        <w:pBdr>
          <w:bottom w:val="single" w:sz="4" w:space="1" w:color="auto"/>
        </w:pBdr>
      </w:pPr>
    </w:p>
    <w:p w14:paraId="1178A379" w14:textId="5CAB3E1C" w:rsidR="009C65C9" w:rsidRDefault="00C942DD" w:rsidP="00D32A8B">
      <w:pPr>
        <w:pStyle w:val="TOC1"/>
        <w:rPr>
          <w:rFonts w:eastAsiaTheme="minorEastAsia"/>
          <w:sz w:val="22"/>
          <w:szCs w:val="22"/>
          <w:lang w:eastAsia="en-AU"/>
        </w:rPr>
      </w:pPr>
      <w:bookmarkStart w:id="194" w:name="_Toc424722749"/>
      <w:bookmarkStart w:id="195" w:name="_Toc424823664"/>
      <w:bookmarkStart w:id="196" w:name="_Toc426447006"/>
      <w:bookmarkStart w:id="197" w:name="_Toc426447202"/>
      <w:bookmarkStart w:id="198" w:name="_Toc426450245"/>
      <w:bookmarkStart w:id="199" w:name="_Toc426538313"/>
      <w:bookmarkStart w:id="200" w:name="_Toc426985869"/>
      <w:bookmarkStart w:id="201" w:name="_Toc427050836"/>
      <w:bookmarkStart w:id="202" w:name="_Toc428256771"/>
      <w:bookmarkStart w:id="203" w:name="_Toc456357677"/>
      <w:bookmarkStart w:id="204" w:name="_Toc456700128"/>
      <w:bookmarkStart w:id="205" w:name="_Toc487532144"/>
      <w:bookmarkStart w:id="206" w:name="_Toc487611748"/>
      <w:bookmarkStart w:id="207" w:name="_Toc487614521"/>
      <w:bookmarkStart w:id="208" w:name="_Toc487623490"/>
      <w:bookmarkStart w:id="209" w:name="_Toc520281769"/>
      <w:bookmarkStart w:id="210" w:name="_Toc520282163"/>
      <w:r w:rsidRPr="00844A8C">
        <w:t>Content</w:t>
      </w:r>
      <w:bookmarkEnd w:id="189"/>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005C7EE7" w:rsidRPr="00844A8C">
        <w:rPr>
          <w:spacing w:val="200"/>
        </w:rPr>
        <w:fldChar w:fldCharType="begin"/>
      </w:r>
      <w:r w:rsidRPr="00844A8C">
        <w:instrText xml:space="preserve"> TOC \o "1-2" \h \z \u </w:instrText>
      </w:r>
      <w:r w:rsidR="005C7EE7" w:rsidRPr="00844A8C">
        <w:rPr>
          <w:spacing w:val="200"/>
        </w:rPr>
        <w:fldChar w:fldCharType="separate"/>
      </w:r>
    </w:p>
    <w:p w14:paraId="5C241739" w14:textId="09769981" w:rsidR="009C65C9" w:rsidRPr="00491B2E" w:rsidRDefault="00C44E1C" w:rsidP="007225F9">
      <w:pPr>
        <w:pStyle w:val="TOC2"/>
        <w:rPr>
          <w:rFonts w:eastAsiaTheme="minorEastAsia"/>
          <w:sz w:val="22"/>
          <w:lang w:eastAsia="en-AU"/>
        </w:rPr>
      </w:pPr>
      <w:hyperlink w:anchor="_Toc520282164" w:history="1">
        <w:r w:rsidR="009C65C9" w:rsidRPr="00491B2E">
          <w:rPr>
            <w:rStyle w:val="Hyperlink"/>
          </w:rPr>
          <w:t>Statement of comprehensive income</w:t>
        </w:r>
        <w:r w:rsidR="009C65C9" w:rsidRPr="00491B2E">
          <w:rPr>
            <w:webHidden/>
          </w:rPr>
          <w:tab/>
        </w:r>
        <w:r w:rsidR="009C65C9" w:rsidRPr="00491B2E">
          <w:rPr>
            <w:webHidden/>
          </w:rPr>
          <w:fldChar w:fldCharType="begin"/>
        </w:r>
        <w:r w:rsidR="009C65C9" w:rsidRPr="00491B2E">
          <w:rPr>
            <w:webHidden/>
          </w:rPr>
          <w:instrText xml:space="preserve"> PAGEREF _Toc520282164 \h </w:instrText>
        </w:r>
        <w:r w:rsidR="009C65C9" w:rsidRPr="00491B2E">
          <w:rPr>
            <w:webHidden/>
          </w:rPr>
        </w:r>
        <w:r w:rsidR="009C65C9" w:rsidRPr="00491B2E">
          <w:rPr>
            <w:webHidden/>
          </w:rPr>
          <w:fldChar w:fldCharType="separate"/>
        </w:r>
        <w:r w:rsidR="00D0045B">
          <w:rPr>
            <w:webHidden/>
          </w:rPr>
          <w:t>39</w:t>
        </w:r>
        <w:r w:rsidR="009C65C9" w:rsidRPr="00491B2E">
          <w:rPr>
            <w:webHidden/>
          </w:rPr>
          <w:fldChar w:fldCharType="end"/>
        </w:r>
      </w:hyperlink>
    </w:p>
    <w:p w14:paraId="6F9BBD5F" w14:textId="25EB9579" w:rsidR="009C65C9" w:rsidRPr="00491B2E" w:rsidRDefault="00C44E1C" w:rsidP="007225F9">
      <w:pPr>
        <w:pStyle w:val="TOC2"/>
        <w:rPr>
          <w:rFonts w:eastAsiaTheme="minorEastAsia"/>
          <w:sz w:val="22"/>
          <w:lang w:eastAsia="en-AU"/>
        </w:rPr>
      </w:pPr>
      <w:hyperlink w:anchor="_Toc520282165" w:history="1">
        <w:r w:rsidR="009C65C9" w:rsidRPr="00491B2E">
          <w:rPr>
            <w:rStyle w:val="Hyperlink"/>
          </w:rPr>
          <w:t>Statement of financial position</w:t>
        </w:r>
        <w:r w:rsidR="009C65C9" w:rsidRPr="00491B2E">
          <w:rPr>
            <w:webHidden/>
          </w:rPr>
          <w:tab/>
        </w:r>
        <w:r w:rsidR="009C65C9" w:rsidRPr="00491B2E">
          <w:rPr>
            <w:webHidden/>
          </w:rPr>
          <w:fldChar w:fldCharType="begin"/>
        </w:r>
        <w:r w:rsidR="009C65C9" w:rsidRPr="00491B2E">
          <w:rPr>
            <w:webHidden/>
          </w:rPr>
          <w:instrText xml:space="preserve"> PAGEREF _Toc520282165 \h </w:instrText>
        </w:r>
        <w:r w:rsidR="009C65C9" w:rsidRPr="00491B2E">
          <w:rPr>
            <w:webHidden/>
          </w:rPr>
        </w:r>
        <w:r w:rsidR="009C65C9" w:rsidRPr="00491B2E">
          <w:rPr>
            <w:webHidden/>
          </w:rPr>
          <w:fldChar w:fldCharType="separate"/>
        </w:r>
        <w:r w:rsidR="00D0045B">
          <w:rPr>
            <w:webHidden/>
          </w:rPr>
          <w:t>40</w:t>
        </w:r>
        <w:r w:rsidR="009C65C9" w:rsidRPr="00491B2E">
          <w:rPr>
            <w:webHidden/>
          </w:rPr>
          <w:fldChar w:fldCharType="end"/>
        </w:r>
      </w:hyperlink>
    </w:p>
    <w:p w14:paraId="44BCD348" w14:textId="59D211DB" w:rsidR="009C65C9" w:rsidRPr="00491B2E" w:rsidRDefault="00C44E1C" w:rsidP="007225F9">
      <w:pPr>
        <w:pStyle w:val="TOC2"/>
        <w:rPr>
          <w:rFonts w:eastAsiaTheme="minorEastAsia"/>
          <w:sz w:val="22"/>
          <w:lang w:eastAsia="en-AU"/>
        </w:rPr>
      </w:pPr>
      <w:hyperlink w:anchor="_Toc520282166" w:history="1">
        <w:r w:rsidR="009C65C9" w:rsidRPr="00491B2E">
          <w:rPr>
            <w:rStyle w:val="Hyperlink"/>
          </w:rPr>
          <w:t>Statement of changes in equity</w:t>
        </w:r>
        <w:r w:rsidR="009C65C9" w:rsidRPr="00491B2E">
          <w:rPr>
            <w:webHidden/>
          </w:rPr>
          <w:tab/>
        </w:r>
        <w:r w:rsidR="009C65C9" w:rsidRPr="00491B2E">
          <w:rPr>
            <w:webHidden/>
          </w:rPr>
          <w:fldChar w:fldCharType="begin"/>
        </w:r>
        <w:r w:rsidR="009C65C9" w:rsidRPr="00491B2E">
          <w:rPr>
            <w:webHidden/>
          </w:rPr>
          <w:instrText xml:space="preserve"> PAGEREF _Toc520282166 \h </w:instrText>
        </w:r>
        <w:r w:rsidR="009C65C9" w:rsidRPr="00491B2E">
          <w:rPr>
            <w:webHidden/>
          </w:rPr>
        </w:r>
        <w:r w:rsidR="009C65C9" w:rsidRPr="00491B2E">
          <w:rPr>
            <w:webHidden/>
          </w:rPr>
          <w:fldChar w:fldCharType="separate"/>
        </w:r>
        <w:r w:rsidR="00D0045B">
          <w:rPr>
            <w:webHidden/>
          </w:rPr>
          <w:t>41</w:t>
        </w:r>
        <w:r w:rsidR="009C65C9" w:rsidRPr="00491B2E">
          <w:rPr>
            <w:webHidden/>
          </w:rPr>
          <w:fldChar w:fldCharType="end"/>
        </w:r>
      </w:hyperlink>
    </w:p>
    <w:p w14:paraId="1B024F0B" w14:textId="6B03E2A9" w:rsidR="009C65C9" w:rsidRPr="00491B2E" w:rsidRDefault="00C44E1C" w:rsidP="007225F9">
      <w:pPr>
        <w:pStyle w:val="TOC2"/>
        <w:rPr>
          <w:rFonts w:eastAsiaTheme="minorEastAsia"/>
          <w:sz w:val="22"/>
          <w:lang w:eastAsia="en-AU"/>
        </w:rPr>
      </w:pPr>
      <w:hyperlink w:anchor="_Toc520282167" w:history="1">
        <w:r w:rsidR="009C65C9" w:rsidRPr="00491B2E">
          <w:rPr>
            <w:rStyle w:val="Hyperlink"/>
          </w:rPr>
          <w:t>Statement of cash flows</w:t>
        </w:r>
        <w:r w:rsidR="009C65C9" w:rsidRPr="00491B2E">
          <w:rPr>
            <w:webHidden/>
          </w:rPr>
          <w:tab/>
        </w:r>
        <w:r w:rsidR="009C65C9" w:rsidRPr="00491B2E">
          <w:rPr>
            <w:webHidden/>
          </w:rPr>
          <w:fldChar w:fldCharType="begin"/>
        </w:r>
        <w:r w:rsidR="009C65C9" w:rsidRPr="00491B2E">
          <w:rPr>
            <w:webHidden/>
          </w:rPr>
          <w:instrText xml:space="preserve"> PAGEREF _Toc520282167 \h </w:instrText>
        </w:r>
        <w:r w:rsidR="009C65C9" w:rsidRPr="00491B2E">
          <w:rPr>
            <w:webHidden/>
          </w:rPr>
        </w:r>
        <w:r w:rsidR="009C65C9" w:rsidRPr="00491B2E">
          <w:rPr>
            <w:webHidden/>
          </w:rPr>
          <w:fldChar w:fldCharType="separate"/>
        </w:r>
        <w:r w:rsidR="00D0045B">
          <w:rPr>
            <w:webHidden/>
          </w:rPr>
          <w:t>42</w:t>
        </w:r>
        <w:r w:rsidR="009C65C9" w:rsidRPr="00491B2E">
          <w:rPr>
            <w:webHidden/>
          </w:rPr>
          <w:fldChar w:fldCharType="end"/>
        </w:r>
      </w:hyperlink>
    </w:p>
    <w:p w14:paraId="429F2353" w14:textId="0F1B6103" w:rsidR="009C65C9" w:rsidRPr="00491B2E" w:rsidRDefault="00C44E1C" w:rsidP="007225F9">
      <w:pPr>
        <w:pStyle w:val="TOC2"/>
        <w:rPr>
          <w:rFonts w:eastAsiaTheme="minorEastAsia"/>
          <w:sz w:val="22"/>
          <w:lang w:eastAsia="en-AU"/>
        </w:rPr>
      </w:pPr>
      <w:hyperlink w:anchor="_Toc520282168" w:history="1">
        <w:r w:rsidR="009C65C9" w:rsidRPr="00491B2E">
          <w:rPr>
            <w:rStyle w:val="Hyperlink"/>
          </w:rPr>
          <w:t>Notes to and forming part of the financial statements</w:t>
        </w:r>
        <w:r w:rsidR="009C65C9" w:rsidRPr="00491B2E">
          <w:rPr>
            <w:webHidden/>
          </w:rPr>
          <w:tab/>
        </w:r>
        <w:r w:rsidR="009C65C9" w:rsidRPr="00491B2E">
          <w:rPr>
            <w:webHidden/>
          </w:rPr>
          <w:fldChar w:fldCharType="begin"/>
        </w:r>
        <w:r w:rsidR="009C65C9" w:rsidRPr="00491B2E">
          <w:rPr>
            <w:webHidden/>
          </w:rPr>
          <w:instrText xml:space="preserve"> PAGEREF _Toc520282168 \h </w:instrText>
        </w:r>
        <w:r w:rsidR="009C65C9" w:rsidRPr="00491B2E">
          <w:rPr>
            <w:webHidden/>
          </w:rPr>
        </w:r>
        <w:r w:rsidR="009C65C9" w:rsidRPr="00491B2E">
          <w:rPr>
            <w:webHidden/>
          </w:rPr>
          <w:fldChar w:fldCharType="separate"/>
        </w:r>
        <w:r w:rsidR="00D0045B">
          <w:rPr>
            <w:webHidden/>
          </w:rPr>
          <w:t>43</w:t>
        </w:r>
        <w:r w:rsidR="009C65C9" w:rsidRPr="00491B2E">
          <w:rPr>
            <w:webHidden/>
          </w:rPr>
          <w:fldChar w:fldCharType="end"/>
        </w:r>
      </w:hyperlink>
    </w:p>
    <w:p w14:paraId="6E1B082F" w14:textId="1F0BE49F" w:rsidR="009C65C9" w:rsidRPr="00491B2E" w:rsidRDefault="00C44E1C" w:rsidP="007225F9">
      <w:pPr>
        <w:pStyle w:val="TOC2"/>
        <w:rPr>
          <w:rFonts w:eastAsiaTheme="minorEastAsia"/>
          <w:sz w:val="22"/>
          <w:lang w:eastAsia="en-AU"/>
        </w:rPr>
      </w:pPr>
      <w:hyperlink w:anchor="_Toc520282169" w:history="1">
        <w:r w:rsidR="00927D91" w:rsidRPr="00491B2E">
          <w:rPr>
            <w:rStyle w:val="Hyperlink"/>
          </w:rPr>
          <w:t>Certificate of Queensland Competition Authority</w:t>
        </w:r>
        <w:r w:rsidR="00927D91" w:rsidRPr="00491B2E">
          <w:rPr>
            <w:webHidden/>
          </w:rPr>
          <w:tab/>
        </w:r>
      </w:hyperlink>
      <w:r w:rsidR="004D2A0B">
        <w:t>5</w:t>
      </w:r>
      <w:r w:rsidR="00957026">
        <w:t>3</w:t>
      </w:r>
    </w:p>
    <w:p w14:paraId="1E15D588" w14:textId="28656E0F" w:rsidR="009C65C9" w:rsidRDefault="00C44E1C" w:rsidP="007225F9">
      <w:pPr>
        <w:pStyle w:val="TOC2"/>
        <w:rPr>
          <w:rFonts w:eastAsiaTheme="minorEastAsia"/>
          <w:sz w:val="22"/>
          <w:lang w:eastAsia="en-AU"/>
        </w:rPr>
      </w:pPr>
      <w:hyperlink w:anchor="_Toc520282170" w:history="1">
        <w:r w:rsidR="009C65C9" w:rsidRPr="00491B2E">
          <w:rPr>
            <w:rStyle w:val="Hyperlink"/>
          </w:rPr>
          <w:t>Independent auditor’s report</w:t>
        </w:r>
        <w:r w:rsidR="009C65C9" w:rsidRPr="00491B2E">
          <w:rPr>
            <w:webHidden/>
          </w:rPr>
          <w:tab/>
        </w:r>
        <w:r w:rsidR="009C65C9" w:rsidRPr="00491B2E">
          <w:rPr>
            <w:webHidden/>
          </w:rPr>
          <w:fldChar w:fldCharType="begin"/>
        </w:r>
        <w:r w:rsidR="009C65C9" w:rsidRPr="00491B2E">
          <w:rPr>
            <w:webHidden/>
          </w:rPr>
          <w:instrText xml:space="preserve"> PAGEREF _Toc520282170 \h </w:instrText>
        </w:r>
        <w:r w:rsidR="009C65C9" w:rsidRPr="00491B2E">
          <w:rPr>
            <w:webHidden/>
          </w:rPr>
        </w:r>
        <w:r w:rsidR="009C65C9" w:rsidRPr="00491B2E">
          <w:rPr>
            <w:webHidden/>
          </w:rPr>
          <w:fldChar w:fldCharType="separate"/>
        </w:r>
        <w:r w:rsidR="00D0045B">
          <w:rPr>
            <w:webHidden/>
          </w:rPr>
          <w:t>54</w:t>
        </w:r>
        <w:r w:rsidR="009C65C9" w:rsidRPr="00491B2E">
          <w:rPr>
            <w:webHidden/>
          </w:rPr>
          <w:fldChar w:fldCharType="end"/>
        </w:r>
      </w:hyperlink>
    </w:p>
    <w:p w14:paraId="0847B44D" w14:textId="47F0DE3D" w:rsidR="003F44C4" w:rsidRPr="004416CF" w:rsidRDefault="005C7EE7" w:rsidP="00E87B3D">
      <w:pPr>
        <w:pStyle w:val="QCABodyText"/>
        <w:tabs>
          <w:tab w:val="left" w:pos="2835"/>
          <w:tab w:val="right" w:pos="7088"/>
        </w:tabs>
        <w:ind w:left="284"/>
      </w:pPr>
      <w:r w:rsidRPr="00844A8C">
        <w:fldChar w:fldCharType="end"/>
      </w:r>
    </w:p>
    <w:p w14:paraId="41DCA233" w14:textId="77777777" w:rsidR="003F44C4" w:rsidRPr="004416CF" w:rsidRDefault="003F44C4" w:rsidP="005B6A9F">
      <w:pPr>
        <w:pStyle w:val="QCABodyText"/>
        <w:tabs>
          <w:tab w:val="left" w:pos="2835"/>
        </w:tabs>
        <w:ind w:left="2835"/>
      </w:pPr>
    </w:p>
    <w:p w14:paraId="48474928" w14:textId="77777777" w:rsidR="00402217" w:rsidRDefault="00402217" w:rsidP="005B6A9F">
      <w:pPr>
        <w:pStyle w:val="QCABodyText"/>
        <w:tabs>
          <w:tab w:val="left" w:pos="2835"/>
        </w:tabs>
        <w:ind w:left="2835"/>
        <w:sectPr w:rsidR="00402217" w:rsidSect="004058E9">
          <w:pgSz w:w="11907" w:h="16840" w:code="9"/>
          <w:pgMar w:top="1361" w:right="851" w:bottom="1814" w:left="3969" w:header="510" w:footer="170" w:gutter="0"/>
          <w:cols w:space="720"/>
          <w:docGrid w:linePitch="272"/>
        </w:sectPr>
      </w:pPr>
    </w:p>
    <w:p w14:paraId="71CE5A12" w14:textId="77777777" w:rsidR="00DD461D" w:rsidRPr="00A30E01" w:rsidRDefault="00A74B74" w:rsidP="00DD461D">
      <w:pPr>
        <w:pStyle w:val="Heading2"/>
        <w:tabs>
          <w:tab w:val="left" w:pos="709"/>
        </w:tabs>
      </w:pPr>
      <w:bookmarkStart w:id="211" w:name="_Toc487532145"/>
      <w:bookmarkStart w:id="212" w:name="_Toc487614522"/>
      <w:bookmarkStart w:id="213" w:name="_Toc520282164"/>
      <w:bookmarkStart w:id="214" w:name="_Toc80792967"/>
      <w:r w:rsidRPr="004D2A0B">
        <w:lastRenderedPageBreak/>
        <w:t>Statement of comprehensive income</w:t>
      </w:r>
      <w:bookmarkEnd w:id="211"/>
      <w:bookmarkEnd w:id="212"/>
      <w:bookmarkEnd w:id="213"/>
      <w:bookmarkEnd w:id="214"/>
    </w:p>
    <w:p w14:paraId="385226E9" w14:textId="208832B9" w:rsidR="00A92AFD" w:rsidRPr="00F86990" w:rsidRDefault="00A92AFD" w:rsidP="00A92AFD">
      <w:pPr>
        <w:rPr>
          <w:i/>
          <w:sz w:val="16"/>
          <w:szCs w:val="16"/>
        </w:rPr>
      </w:pPr>
      <w:r w:rsidRPr="00F86990">
        <w:rPr>
          <w:i/>
          <w:sz w:val="16"/>
          <w:szCs w:val="16"/>
        </w:rPr>
        <w:t>for the year ended 30 June 20</w:t>
      </w:r>
      <w:r w:rsidR="005B4464">
        <w:rPr>
          <w:i/>
          <w:sz w:val="16"/>
          <w:szCs w:val="16"/>
        </w:rPr>
        <w:t>2</w:t>
      </w:r>
      <w:r w:rsidR="00F557CB">
        <w:rPr>
          <w:i/>
          <w:sz w:val="16"/>
          <w:szCs w:val="16"/>
        </w:rPr>
        <w:t>1</w:t>
      </w:r>
    </w:p>
    <w:p w14:paraId="42AB90FC" w14:textId="5A561758" w:rsidR="00A92AFD" w:rsidRDefault="00A92AFD" w:rsidP="00A92AFD">
      <w:pPr>
        <w:rPr>
          <w:highlight w:val="yellow"/>
        </w:rPr>
      </w:pPr>
    </w:p>
    <w:tbl>
      <w:tblPr>
        <w:tblW w:w="9102" w:type="dxa"/>
        <w:tblInd w:w="-30" w:type="dxa"/>
        <w:tblLayout w:type="fixed"/>
        <w:tblLook w:val="0000" w:firstRow="0" w:lastRow="0" w:firstColumn="0" w:lastColumn="0" w:noHBand="0" w:noVBand="0"/>
      </w:tblPr>
      <w:tblGrid>
        <w:gridCol w:w="331"/>
        <w:gridCol w:w="4659"/>
        <w:gridCol w:w="708"/>
        <w:gridCol w:w="362"/>
        <w:gridCol w:w="1483"/>
        <w:gridCol w:w="284"/>
        <w:gridCol w:w="1275"/>
      </w:tblGrid>
      <w:tr w:rsidR="000251CF" w:rsidRPr="000251CF" w14:paraId="6838B590" w14:textId="77777777" w:rsidTr="0088213C">
        <w:trPr>
          <w:trHeight w:val="262"/>
        </w:trPr>
        <w:tc>
          <w:tcPr>
            <w:tcW w:w="331" w:type="dxa"/>
            <w:tcBorders>
              <w:top w:val="nil"/>
              <w:left w:val="nil"/>
              <w:bottom w:val="nil"/>
              <w:right w:val="nil"/>
            </w:tcBorders>
          </w:tcPr>
          <w:p w14:paraId="0E3A0C1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63EF567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70" w:type="dxa"/>
            <w:gridSpan w:val="2"/>
            <w:tcBorders>
              <w:top w:val="nil"/>
              <w:left w:val="nil"/>
              <w:bottom w:val="nil"/>
              <w:right w:val="nil"/>
            </w:tcBorders>
            <w:shd w:val="solid" w:color="C0C0C0" w:fill="auto"/>
          </w:tcPr>
          <w:p w14:paraId="6FD56B0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Notes</w:t>
            </w:r>
          </w:p>
        </w:tc>
        <w:tc>
          <w:tcPr>
            <w:tcW w:w="1483" w:type="dxa"/>
            <w:tcBorders>
              <w:top w:val="nil"/>
              <w:left w:val="nil"/>
              <w:bottom w:val="nil"/>
              <w:right w:val="nil"/>
            </w:tcBorders>
            <w:shd w:val="solid" w:color="C0C0C0" w:fill="auto"/>
          </w:tcPr>
          <w:p w14:paraId="6977A3D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284" w:type="dxa"/>
            <w:tcBorders>
              <w:top w:val="nil"/>
              <w:left w:val="nil"/>
              <w:bottom w:val="nil"/>
              <w:right w:val="nil"/>
            </w:tcBorders>
            <w:shd w:val="solid" w:color="C0C0C0" w:fill="auto"/>
          </w:tcPr>
          <w:p w14:paraId="2DD44C4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bottom w:val="nil"/>
              <w:right w:val="nil"/>
            </w:tcBorders>
            <w:shd w:val="solid" w:color="C0C0C0" w:fill="auto"/>
          </w:tcPr>
          <w:p w14:paraId="447F71A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12B66B55" w14:textId="77777777" w:rsidTr="0088213C">
        <w:trPr>
          <w:trHeight w:val="233"/>
        </w:trPr>
        <w:tc>
          <w:tcPr>
            <w:tcW w:w="331" w:type="dxa"/>
            <w:tcBorders>
              <w:top w:val="nil"/>
              <w:left w:val="nil"/>
              <w:bottom w:val="nil"/>
              <w:right w:val="nil"/>
            </w:tcBorders>
          </w:tcPr>
          <w:p w14:paraId="629A4C9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4659" w:type="dxa"/>
            <w:tcBorders>
              <w:top w:val="nil"/>
              <w:left w:val="nil"/>
              <w:bottom w:val="nil"/>
              <w:right w:val="nil"/>
            </w:tcBorders>
          </w:tcPr>
          <w:p w14:paraId="54796A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708" w:type="dxa"/>
            <w:tcBorders>
              <w:top w:val="nil"/>
              <w:left w:val="nil"/>
              <w:bottom w:val="nil"/>
              <w:right w:val="nil"/>
            </w:tcBorders>
            <w:shd w:val="solid" w:color="C0C0C0" w:fill="auto"/>
          </w:tcPr>
          <w:p w14:paraId="50E4EC8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shd w:val="solid" w:color="C0C0C0" w:fill="auto"/>
          </w:tcPr>
          <w:p w14:paraId="7952BF0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83" w:type="dxa"/>
            <w:tcBorders>
              <w:top w:val="nil"/>
              <w:left w:val="nil"/>
              <w:bottom w:val="nil"/>
              <w:right w:val="nil"/>
            </w:tcBorders>
            <w:shd w:val="solid" w:color="C0C0C0" w:fill="auto"/>
          </w:tcPr>
          <w:p w14:paraId="76781E8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284" w:type="dxa"/>
            <w:tcBorders>
              <w:top w:val="nil"/>
              <w:left w:val="nil"/>
              <w:bottom w:val="nil"/>
              <w:right w:val="nil"/>
            </w:tcBorders>
            <w:shd w:val="solid" w:color="C0C0C0" w:fill="auto"/>
          </w:tcPr>
          <w:p w14:paraId="7938F65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bottom w:val="nil"/>
              <w:right w:val="nil"/>
            </w:tcBorders>
            <w:shd w:val="solid" w:color="C0C0C0" w:fill="auto"/>
          </w:tcPr>
          <w:p w14:paraId="194F4F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61664ACC" w14:textId="77777777" w:rsidTr="0088213C">
        <w:trPr>
          <w:trHeight w:val="233"/>
        </w:trPr>
        <w:tc>
          <w:tcPr>
            <w:tcW w:w="4990" w:type="dxa"/>
            <w:gridSpan w:val="2"/>
            <w:tcBorders>
              <w:top w:val="nil"/>
              <w:left w:val="nil"/>
              <w:bottom w:val="nil"/>
              <w:right w:val="nil"/>
            </w:tcBorders>
          </w:tcPr>
          <w:p w14:paraId="7B40644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Income from Continuing Operations</w:t>
            </w:r>
          </w:p>
        </w:tc>
        <w:tc>
          <w:tcPr>
            <w:tcW w:w="708" w:type="dxa"/>
            <w:tcBorders>
              <w:top w:val="nil"/>
              <w:left w:val="nil"/>
              <w:bottom w:val="nil"/>
              <w:right w:val="nil"/>
            </w:tcBorders>
          </w:tcPr>
          <w:p w14:paraId="705323A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408B71E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83" w:type="dxa"/>
            <w:tcBorders>
              <w:top w:val="nil"/>
              <w:left w:val="nil"/>
              <w:bottom w:val="nil"/>
              <w:right w:val="nil"/>
            </w:tcBorders>
          </w:tcPr>
          <w:p w14:paraId="409D28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4" w:type="dxa"/>
            <w:tcBorders>
              <w:top w:val="nil"/>
              <w:left w:val="nil"/>
              <w:bottom w:val="nil"/>
              <w:right w:val="nil"/>
            </w:tcBorders>
          </w:tcPr>
          <w:p w14:paraId="6836B6B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275" w:type="dxa"/>
            <w:tcBorders>
              <w:top w:val="nil"/>
              <w:left w:val="nil"/>
              <w:bottom w:val="nil"/>
              <w:right w:val="nil"/>
            </w:tcBorders>
          </w:tcPr>
          <w:p w14:paraId="160BE53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r>
      <w:tr w:rsidR="000251CF" w:rsidRPr="000251CF" w14:paraId="0C975A7F" w14:textId="77777777" w:rsidTr="0088213C">
        <w:trPr>
          <w:trHeight w:val="233"/>
        </w:trPr>
        <w:tc>
          <w:tcPr>
            <w:tcW w:w="331" w:type="dxa"/>
            <w:tcBorders>
              <w:top w:val="nil"/>
              <w:left w:val="nil"/>
              <w:bottom w:val="nil"/>
              <w:right w:val="nil"/>
            </w:tcBorders>
          </w:tcPr>
          <w:p w14:paraId="2C5054B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20CDE95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Fees</w:t>
            </w:r>
          </w:p>
        </w:tc>
        <w:tc>
          <w:tcPr>
            <w:tcW w:w="708" w:type="dxa"/>
            <w:tcBorders>
              <w:top w:val="nil"/>
              <w:left w:val="nil"/>
              <w:bottom w:val="nil"/>
              <w:right w:val="nil"/>
            </w:tcBorders>
          </w:tcPr>
          <w:p w14:paraId="167C61D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2</w:t>
            </w:r>
          </w:p>
        </w:tc>
        <w:tc>
          <w:tcPr>
            <w:tcW w:w="362" w:type="dxa"/>
            <w:tcBorders>
              <w:top w:val="nil"/>
              <w:left w:val="nil"/>
              <w:bottom w:val="nil"/>
              <w:right w:val="nil"/>
            </w:tcBorders>
          </w:tcPr>
          <w:p w14:paraId="3CC1CB9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71AC6E4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6,948,628</w:t>
            </w:r>
          </w:p>
        </w:tc>
        <w:tc>
          <w:tcPr>
            <w:tcW w:w="284" w:type="dxa"/>
            <w:tcBorders>
              <w:top w:val="nil"/>
              <w:left w:val="nil"/>
              <w:bottom w:val="nil"/>
              <w:right w:val="nil"/>
            </w:tcBorders>
          </w:tcPr>
          <w:p w14:paraId="7F10188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278AA2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10,644,849</w:t>
            </w:r>
          </w:p>
        </w:tc>
      </w:tr>
      <w:tr w:rsidR="000251CF" w:rsidRPr="000251CF" w14:paraId="3BC48278" w14:textId="77777777" w:rsidTr="0088213C">
        <w:trPr>
          <w:trHeight w:val="233"/>
        </w:trPr>
        <w:tc>
          <w:tcPr>
            <w:tcW w:w="331" w:type="dxa"/>
            <w:tcBorders>
              <w:top w:val="nil"/>
              <w:left w:val="nil"/>
              <w:bottom w:val="nil"/>
              <w:right w:val="nil"/>
            </w:tcBorders>
          </w:tcPr>
          <w:p w14:paraId="25777BE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73D9F901"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Government Grant</w:t>
            </w:r>
          </w:p>
        </w:tc>
        <w:tc>
          <w:tcPr>
            <w:tcW w:w="708" w:type="dxa"/>
            <w:tcBorders>
              <w:top w:val="nil"/>
              <w:left w:val="nil"/>
              <w:bottom w:val="nil"/>
              <w:right w:val="nil"/>
            </w:tcBorders>
          </w:tcPr>
          <w:p w14:paraId="0C32874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3</w:t>
            </w:r>
          </w:p>
        </w:tc>
        <w:tc>
          <w:tcPr>
            <w:tcW w:w="362" w:type="dxa"/>
            <w:tcBorders>
              <w:top w:val="nil"/>
              <w:left w:val="nil"/>
              <w:bottom w:val="nil"/>
              <w:right w:val="nil"/>
            </w:tcBorders>
          </w:tcPr>
          <w:p w14:paraId="097BDE6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700FA65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3,650,000</w:t>
            </w:r>
          </w:p>
        </w:tc>
        <w:tc>
          <w:tcPr>
            <w:tcW w:w="284" w:type="dxa"/>
            <w:tcBorders>
              <w:top w:val="nil"/>
              <w:left w:val="nil"/>
              <w:bottom w:val="nil"/>
              <w:right w:val="nil"/>
            </w:tcBorders>
          </w:tcPr>
          <w:p w14:paraId="236DA6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4098AA2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4,000,000</w:t>
            </w:r>
          </w:p>
        </w:tc>
      </w:tr>
      <w:tr w:rsidR="000251CF" w:rsidRPr="000251CF" w14:paraId="48012E7A" w14:textId="77777777" w:rsidTr="0088213C">
        <w:trPr>
          <w:trHeight w:val="233"/>
        </w:trPr>
        <w:tc>
          <w:tcPr>
            <w:tcW w:w="331" w:type="dxa"/>
            <w:tcBorders>
              <w:top w:val="nil"/>
              <w:left w:val="nil"/>
              <w:bottom w:val="nil"/>
              <w:right w:val="nil"/>
            </w:tcBorders>
          </w:tcPr>
          <w:p w14:paraId="7CCE096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074CF15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 Income</w:t>
            </w:r>
          </w:p>
        </w:tc>
        <w:tc>
          <w:tcPr>
            <w:tcW w:w="708" w:type="dxa"/>
            <w:tcBorders>
              <w:top w:val="nil"/>
              <w:left w:val="nil"/>
              <w:bottom w:val="nil"/>
              <w:right w:val="nil"/>
            </w:tcBorders>
          </w:tcPr>
          <w:p w14:paraId="2DD386E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4</w:t>
            </w:r>
          </w:p>
        </w:tc>
        <w:tc>
          <w:tcPr>
            <w:tcW w:w="362" w:type="dxa"/>
            <w:tcBorders>
              <w:top w:val="nil"/>
              <w:left w:val="nil"/>
              <w:bottom w:val="nil"/>
              <w:right w:val="nil"/>
            </w:tcBorders>
          </w:tcPr>
          <w:p w14:paraId="26EBF04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446E179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637,524</w:t>
            </w:r>
          </w:p>
        </w:tc>
        <w:tc>
          <w:tcPr>
            <w:tcW w:w="284" w:type="dxa"/>
            <w:tcBorders>
              <w:top w:val="nil"/>
              <w:left w:val="nil"/>
              <w:bottom w:val="nil"/>
              <w:right w:val="nil"/>
            </w:tcBorders>
          </w:tcPr>
          <w:p w14:paraId="4E8B7AA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57ED5C7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713,534</w:t>
            </w:r>
          </w:p>
        </w:tc>
      </w:tr>
      <w:tr w:rsidR="000251CF" w:rsidRPr="000251CF" w14:paraId="753DE6F7" w14:textId="77777777" w:rsidTr="0088213C">
        <w:trPr>
          <w:trHeight w:val="233"/>
        </w:trPr>
        <w:tc>
          <w:tcPr>
            <w:tcW w:w="4990" w:type="dxa"/>
            <w:gridSpan w:val="2"/>
            <w:tcBorders>
              <w:top w:val="nil"/>
              <w:left w:val="nil"/>
              <w:bottom w:val="nil"/>
              <w:right w:val="nil"/>
            </w:tcBorders>
          </w:tcPr>
          <w:p w14:paraId="7060D1B6"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Income from Continuing Operations</w:t>
            </w:r>
          </w:p>
        </w:tc>
        <w:tc>
          <w:tcPr>
            <w:tcW w:w="708" w:type="dxa"/>
            <w:tcBorders>
              <w:top w:val="nil"/>
              <w:left w:val="nil"/>
              <w:bottom w:val="nil"/>
              <w:right w:val="nil"/>
            </w:tcBorders>
          </w:tcPr>
          <w:p w14:paraId="4D5A39B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1963F77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83" w:type="dxa"/>
            <w:tcBorders>
              <w:top w:val="nil"/>
              <w:left w:val="nil"/>
              <w:bottom w:val="nil"/>
              <w:right w:val="nil"/>
            </w:tcBorders>
          </w:tcPr>
          <w:p w14:paraId="2B198AF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11,236,152</w:t>
            </w:r>
          </w:p>
        </w:tc>
        <w:tc>
          <w:tcPr>
            <w:tcW w:w="284" w:type="dxa"/>
            <w:tcBorders>
              <w:top w:val="nil"/>
              <w:left w:val="nil"/>
              <w:bottom w:val="nil"/>
              <w:right w:val="nil"/>
            </w:tcBorders>
          </w:tcPr>
          <w:p w14:paraId="0DF4ED7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bottom w:val="nil"/>
              <w:right w:val="nil"/>
            </w:tcBorders>
          </w:tcPr>
          <w:p w14:paraId="0845B50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15,358,383</w:t>
            </w:r>
          </w:p>
        </w:tc>
      </w:tr>
      <w:tr w:rsidR="000251CF" w:rsidRPr="000251CF" w14:paraId="290710B2" w14:textId="77777777" w:rsidTr="0088213C">
        <w:trPr>
          <w:trHeight w:val="233"/>
        </w:trPr>
        <w:tc>
          <w:tcPr>
            <w:tcW w:w="331" w:type="dxa"/>
            <w:tcBorders>
              <w:top w:val="nil"/>
              <w:left w:val="nil"/>
              <w:bottom w:val="nil"/>
              <w:right w:val="nil"/>
            </w:tcBorders>
          </w:tcPr>
          <w:p w14:paraId="62D2786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3F611BB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708" w:type="dxa"/>
            <w:tcBorders>
              <w:top w:val="nil"/>
              <w:left w:val="nil"/>
              <w:bottom w:val="nil"/>
              <w:right w:val="nil"/>
            </w:tcBorders>
          </w:tcPr>
          <w:p w14:paraId="0B72478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A2FCBE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56AE5B6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84" w:type="dxa"/>
            <w:tcBorders>
              <w:top w:val="nil"/>
              <w:left w:val="nil"/>
              <w:bottom w:val="nil"/>
              <w:right w:val="nil"/>
            </w:tcBorders>
          </w:tcPr>
          <w:p w14:paraId="79F522E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4C4909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70764441" w14:textId="77777777" w:rsidTr="0088213C">
        <w:trPr>
          <w:trHeight w:val="233"/>
        </w:trPr>
        <w:tc>
          <w:tcPr>
            <w:tcW w:w="4990" w:type="dxa"/>
            <w:gridSpan w:val="2"/>
            <w:tcBorders>
              <w:top w:val="nil"/>
              <w:left w:val="nil"/>
              <w:bottom w:val="nil"/>
              <w:right w:val="nil"/>
            </w:tcBorders>
          </w:tcPr>
          <w:p w14:paraId="0F18344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Expenses from Continuing Operations</w:t>
            </w:r>
          </w:p>
        </w:tc>
        <w:tc>
          <w:tcPr>
            <w:tcW w:w="708" w:type="dxa"/>
            <w:tcBorders>
              <w:top w:val="nil"/>
              <w:left w:val="nil"/>
              <w:bottom w:val="nil"/>
              <w:right w:val="nil"/>
            </w:tcBorders>
          </w:tcPr>
          <w:p w14:paraId="2E99BFA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B59AD2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1A53877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84" w:type="dxa"/>
            <w:tcBorders>
              <w:top w:val="nil"/>
              <w:left w:val="nil"/>
              <w:bottom w:val="nil"/>
              <w:right w:val="nil"/>
            </w:tcBorders>
          </w:tcPr>
          <w:p w14:paraId="11805D6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048B563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23B65DC7" w14:textId="77777777" w:rsidTr="0088213C">
        <w:trPr>
          <w:trHeight w:val="233"/>
        </w:trPr>
        <w:tc>
          <w:tcPr>
            <w:tcW w:w="331" w:type="dxa"/>
            <w:tcBorders>
              <w:top w:val="nil"/>
              <w:left w:val="nil"/>
              <w:bottom w:val="nil"/>
              <w:right w:val="nil"/>
            </w:tcBorders>
          </w:tcPr>
          <w:p w14:paraId="0425632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2958CA0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Members' Expenses</w:t>
            </w:r>
          </w:p>
        </w:tc>
        <w:tc>
          <w:tcPr>
            <w:tcW w:w="708" w:type="dxa"/>
            <w:tcBorders>
              <w:top w:val="nil"/>
              <w:left w:val="nil"/>
              <w:bottom w:val="nil"/>
              <w:right w:val="nil"/>
            </w:tcBorders>
          </w:tcPr>
          <w:p w14:paraId="4E4B044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2EEFBED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3E78BD3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419,607</w:t>
            </w:r>
          </w:p>
        </w:tc>
        <w:tc>
          <w:tcPr>
            <w:tcW w:w="284" w:type="dxa"/>
            <w:tcBorders>
              <w:top w:val="nil"/>
              <w:left w:val="nil"/>
              <w:bottom w:val="nil"/>
              <w:right w:val="nil"/>
            </w:tcBorders>
          </w:tcPr>
          <w:p w14:paraId="38FF6D3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3A0D1A4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439,549</w:t>
            </w:r>
          </w:p>
        </w:tc>
      </w:tr>
      <w:tr w:rsidR="000251CF" w:rsidRPr="000251CF" w14:paraId="3A909B49" w14:textId="77777777" w:rsidTr="0088213C">
        <w:trPr>
          <w:trHeight w:val="233"/>
        </w:trPr>
        <w:tc>
          <w:tcPr>
            <w:tcW w:w="331" w:type="dxa"/>
            <w:tcBorders>
              <w:top w:val="nil"/>
              <w:left w:val="nil"/>
              <w:bottom w:val="nil"/>
              <w:right w:val="nil"/>
            </w:tcBorders>
          </w:tcPr>
          <w:p w14:paraId="26386D6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5DCA5858"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Employee Expenses</w:t>
            </w:r>
          </w:p>
        </w:tc>
        <w:tc>
          <w:tcPr>
            <w:tcW w:w="708" w:type="dxa"/>
            <w:tcBorders>
              <w:top w:val="nil"/>
              <w:left w:val="nil"/>
              <w:bottom w:val="nil"/>
              <w:right w:val="nil"/>
            </w:tcBorders>
          </w:tcPr>
          <w:p w14:paraId="36AC03D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5</w:t>
            </w:r>
          </w:p>
        </w:tc>
        <w:tc>
          <w:tcPr>
            <w:tcW w:w="362" w:type="dxa"/>
            <w:tcBorders>
              <w:top w:val="nil"/>
              <w:left w:val="nil"/>
              <w:bottom w:val="nil"/>
              <w:right w:val="nil"/>
            </w:tcBorders>
          </w:tcPr>
          <w:p w14:paraId="001BD06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4615F67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7,571,495</w:t>
            </w:r>
          </w:p>
        </w:tc>
        <w:tc>
          <w:tcPr>
            <w:tcW w:w="284" w:type="dxa"/>
            <w:tcBorders>
              <w:top w:val="nil"/>
              <w:left w:val="nil"/>
              <w:bottom w:val="nil"/>
              <w:right w:val="nil"/>
            </w:tcBorders>
          </w:tcPr>
          <w:p w14:paraId="539C721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33D2D70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8,110,684</w:t>
            </w:r>
          </w:p>
        </w:tc>
      </w:tr>
      <w:tr w:rsidR="000251CF" w:rsidRPr="000251CF" w14:paraId="163417CD" w14:textId="77777777" w:rsidTr="0088213C">
        <w:trPr>
          <w:trHeight w:val="233"/>
        </w:trPr>
        <w:tc>
          <w:tcPr>
            <w:tcW w:w="331" w:type="dxa"/>
            <w:tcBorders>
              <w:top w:val="nil"/>
              <w:left w:val="nil"/>
              <w:bottom w:val="nil"/>
              <w:right w:val="nil"/>
            </w:tcBorders>
          </w:tcPr>
          <w:p w14:paraId="58A214A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5CFE983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Supplies and Services</w:t>
            </w:r>
          </w:p>
        </w:tc>
        <w:tc>
          <w:tcPr>
            <w:tcW w:w="708" w:type="dxa"/>
            <w:tcBorders>
              <w:top w:val="nil"/>
              <w:left w:val="nil"/>
              <w:bottom w:val="nil"/>
              <w:right w:val="nil"/>
            </w:tcBorders>
          </w:tcPr>
          <w:p w14:paraId="2E2352F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8</w:t>
            </w:r>
          </w:p>
        </w:tc>
        <w:tc>
          <w:tcPr>
            <w:tcW w:w="362" w:type="dxa"/>
            <w:tcBorders>
              <w:top w:val="nil"/>
              <w:left w:val="nil"/>
              <w:bottom w:val="nil"/>
              <w:right w:val="nil"/>
            </w:tcBorders>
          </w:tcPr>
          <w:p w14:paraId="1C33DDA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0CCA069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1,640,975</w:t>
            </w:r>
          </w:p>
        </w:tc>
        <w:tc>
          <w:tcPr>
            <w:tcW w:w="284" w:type="dxa"/>
            <w:tcBorders>
              <w:top w:val="nil"/>
              <w:left w:val="nil"/>
              <w:bottom w:val="nil"/>
              <w:right w:val="nil"/>
            </w:tcBorders>
          </w:tcPr>
          <w:p w14:paraId="3D6A881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3AF2F88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4,002,722</w:t>
            </w:r>
          </w:p>
        </w:tc>
      </w:tr>
      <w:tr w:rsidR="000251CF" w:rsidRPr="000251CF" w14:paraId="5B3EDCEC" w14:textId="77777777" w:rsidTr="0088213C">
        <w:trPr>
          <w:trHeight w:val="233"/>
        </w:trPr>
        <w:tc>
          <w:tcPr>
            <w:tcW w:w="331" w:type="dxa"/>
            <w:tcBorders>
              <w:top w:val="nil"/>
              <w:left w:val="nil"/>
              <w:bottom w:val="nil"/>
              <w:right w:val="nil"/>
            </w:tcBorders>
          </w:tcPr>
          <w:p w14:paraId="6781CA0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793004A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Borrowing Costs - Interest on Lease</w:t>
            </w:r>
          </w:p>
        </w:tc>
        <w:tc>
          <w:tcPr>
            <w:tcW w:w="708" w:type="dxa"/>
            <w:tcBorders>
              <w:top w:val="nil"/>
              <w:left w:val="nil"/>
              <w:bottom w:val="nil"/>
              <w:right w:val="nil"/>
            </w:tcBorders>
          </w:tcPr>
          <w:p w14:paraId="422F1E2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14</w:t>
            </w:r>
          </w:p>
        </w:tc>
        <w:tc>
          <w:tcPr>
            <w:tcW w:w="362" w:type="dxa"/>
            <w:tcBorders>
              <w:top w:val="nil"/>
              <w:left w:val="nil"/>
              <w:bottom w:val="nil"/>
              <w:right w:val="nil"/>
            </w:tcBorders>
          </w:tcPr>
          <w:p w14:paraId="24A5CED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07FBBDF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91,247</w:t>
            </w:r>
          </w:p>
        </w:tc>
        <w:tc>
          <w:tcPr>
            <w:tcW w:w="284" w:type="dxa"/>
            <w:tcBorders>
              <w:top w:val="nil"/>
              <w:left w:val="nil"/>
              <w:bottom w:val="nil"/>
              <w:right w:val="nil"/>
            </w:tcBorders>
          </w:tcPr>
          <w:p w14:paraId="5FB322E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764F4CB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132,770</w:t>
            </w:r>
          </w:p>
        </w:tc>
      </w:tr>
      <w:tr w:rsidR="000251CF" w:rsidRPr="000251CF" w14:paraId="6CFD5579" w14:textId="77777777" w:rsidTr="0088213C">
        <w:trPr>
          <w:trHeight w:val="233"/>
        </w:trPr>
        <w:tc>
          <w:tcPr>
            <w:tcW w:w="331" w:type="dxa"/>
            <w:tcBorders>
              <w:top w:val="nil"/>
              <w:left w:val="nil"/>
              <w:bottom w:val="nil"/>
              <w:right w:val="nil"/>
            </w:tcBorders>
          </w:tcPr>
          <w:p w14:paraId="15AE3ED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58ADE10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Depreciation and Amortisation</w:t>
            </w:r>
          </w:p>
        </w:tc>
        <w:tc>
          <w:tcPr>
            <w:tcW w:w="708" w:type="dxa"/>
            <w:tcBorders>
              <w:top w:val="nil"/>
              <w:left w:val="nil"/>
              <w:bottom w:val="nil"/>
              <w:right w:val="nil"/>
            </w:tcBorders>
          </w:tcPr>
          <w:p w14:paraId="219D927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13, 14</w:t>
            </w:r>
          </w:p>
        </w:tc>
        <w:tc>
          <w:tcPr>
            <w:tcW w:w="362" w:type="dxa"/>
            <w:tcBorders>
              <w:top w:val="nil"/>
              <w:left w:val="nil"/>
              <w:bottom w:val="nil"/>
              <w:right w:val="nil"/>
            </w:tcBorders>
          </w:tcPr>
          <w:p w14:paraId="3509CF4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83" w:type="dxa"/>
            <w:tcBorders>
              <w:top w:val="nil"/>
              <w:left w:val="nil"/>
              <w:bottom w:val="nil"/>
              <w:right w:val="nil"/>
            </w:tcBorders>
          </w:tcPr>
          <w:p w14:paraId="5461B90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1,904,501</w:t>
            </w:r>
          </w:p>
        </w:tc>
        <w:tc>
          <w:tcPr>
            <w:tcW w:w="284" w:type="dxa"/>
            <w:tcBorders>
              <w:top w:val="nil"/>
              <w:left w:val="nil"/>
              <w:bottom w:val="nil"/>
              <w:right w:val="nil"/>
            </w:tcBorders>
          </w:tcPr>
          <w:p w14:paraId="4403FA0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679C29D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1,908,795</w:t>
            </w:r>
          </w:p>
        </w:tc>
      </w:tr>
      <w:tr w:rsidR="000251CF" w:rsidRPr="000251CF" w14:paraId="40E64E8C" w14:textId="77777777" w:rsidTr="0088213C">
        <w:trPr>
          <w:trHeight w:val="233"/>
        </w:trPr>
        <w:tc>
          <w:tcPr>
            <w:tcW w:w="331" w:type="dxa"/>
            <w:tcBorders>
              <w:top w:val="nil"/>
              <w:left w:val="nil"/>
              <w:bottom w:val="nil"/>
              <w:right w:val="nil"/>
            </w:tcBorders>
          </w:tcPr>
          <w:p w14:paraId="4DC4EA4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165CB89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Fee Expense</w:t>
            </w:r>
          </w:p>
        </w:tc>
        <w:tc>
          <w:tcPr>
            <w:tcW w:w="708" w:type="dxa"/>
            <w:tcBorders>
              <w:top w:val="nil"/>
              <w:left w:val="nil"/>
              <w:bottom w:val="nil"/>
              <w:right w:val="nil"/>
            </w:tcBorders>
          </w:tcPr>
          <w:p w14:paraId="7E21D93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9</w:t>
            </w:r>
          </w:p>
        </w:tc>
        <w:tc>
          <w:tcPr>
            <w:tcW w:w="362" w:type="dxa"/>
            <w:tcBorders>
              <w:top w:val="nil"/>
              <w:left w:val="nil"/>
              <w:bottom w:val="nil"/>
              <w:right w:val="nil"/>
            </w:tcBorders>
          </w:tcPr>
          <w:p w14:paraId="7397B9F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1EC663F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509,830</w:t>
            </w:r>
          </w:p>
        </w:tc>
        <w:tc>
          <w:tcPr>
            <w:tcW w:w="284" w:type="dxa"/>
            <w:tcBorders>
              <w:top w:val="nil"/>
              <w:left w:val="nil"/>
              <w:bottom w:val="nil"/>
              <w:right w:val="nil"/>
            </w:tcBorders>
          </w:tcPr>
          <w:p w14:paraId="3BF4F05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3EB500A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1,326,101</w:t>
            </w:r>
          </w:p>
        </w:tc>
      </w:tr>
      <w:tr w:rsidR="000251CF" w:rsidRPr="000251CF" w14:paraId="74F90802" w14:textId="77777777" w:rsidTr="0088213C">
        <w:trPr>
          <w:trHeight w:val="233"/>
        </w:trPr>
        <w:tc>
          <w:tcPr>
            <w:tcW w:w="331" w:type="dxa"/>
            <w:tcBorders>
              <w:top w:val="nil"/>
              <w:left w:val="nil"/>
              <w:bottom w:val="nil"/>
              <w:right w:val="nil"/>
            </w:tcBorders>
          </w:tcPr>
          <w:p w14:paraId="5E6028D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2A0B09E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 Expenses</w:t>
            </w:r>
          </w:p>
        </w:tc>
        <w:tc>
          <w:tcPr>
            <w:tcW w:w="708" w:type="dxa"/>
            <w:tcBorders>
              <w:top w:val="nil"/>
              <w:left w:val="nil"/>
              <w:bottom w:val="nil"/>
              <w:right w:val="nil"/>
            </w:tcBorders>
          </w:tcPr>
          <w:p w14:paraId="0488E32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10</w:t>
            </w:r>
          </w:p>
        </w:tc>
        <w:tc>
          <w:tcPr>
            <w:tcW w:w="362" w:type="dxa"/>
            <w:tcBorders>
              <w:top w:val="nil"/>
              <w:left w:val="nil"/>
              <w:bottom w:val="nil"/>
              <w:right w:val="nil"/>
            </w:tcBorders>
          </w:tcPr>
          <w:p w14:paraId="127F140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single" w:sz="6" w:space="0" w:color="auto"/>
              <w:right w:val="nil"/>
            </w:tcBorders>
          </w:tcPr>
          <w:p w14:paraId="3030279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42,030 </w:t>
            </w:r>
          </w:p>
        </w:tc>
        <w:tc>
          <w:tcPr>
            <w:tcW w:w="284" w:type="dxa"/>
            <w:tcBorders>
              <w:top w:val="nil"/>
              <w:left w:val="nil"/>
              <w:bottom w:val="nil"/>
              <w:right w:val="nil"/>
            </w:tcBorders>
          </w:tcPr>
          <w:p w14:paraId="426C680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single" w:sz="6" w:space="0" w:color="auto"/>
              <w:right w:val="nil"/>
            </w:tcBorders>
          </w:tcPr>
          <w:p w14:paraId="53E0DFD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42,834</w:t>
            </w:r>
          </w:p>
        </w:tc>
      </w:tr>
      <w:tr w:rsidR="000251CF" w:rsidRPr="000251CF" w14:paraId="77305BB0" w14:textId="77777777" w:rsidTr="0088213C">
        <w:trPr>
          <w:trHeight w:val="233"/>
        </w:trPr>
        <w:tc>
          <w:tcPr>
            <w:tcW w:w="4990" w:type="dxa"/>
            <w:gridSpan w:val="2"/>
            <w:tcBorders>
              <w:top w:val="nil"/>
              <w:left w:val="nil"/>
              <w:bottom w:val="nil"/>
              <w:right w:val="nil"/>
            </w:tcBorders>
          </w:tcPr>
          <w:p w14:paraId="10B5360E"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Expenses from Continuing Operations</w:t>
            </w:r>
          </w:p>
        </w:tc>
        <w:tc>
          <w:tcPr>
            <w:tcW w:w="708" w:type="dxa"/>
            <w:tcBorders>
              <w:top w:val="nil"/>
              <w:left w:val="nil"/>
              <w:bottom w:val="nil"/>
              <w:right w:val="nil"/>
            </w:tcBorders>
          </w:tcPr>
          <w:p w14:paraId="12E77E5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55E6C5D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83" w:type="dxa"/>
            <w:tcBorders>
              <w:top w:val="nil"/>
              <w:left w:val="nil"/>
              <w:bottom w:val="nil"/>
              <w:right w:val="nil"/>
            </w:tcBorders>
          </w:tcPr>
          <w:p w14:paraId="1140BB1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12,179,685</w:t>
            </w:r>
          </w:p>
        </w:tc>
        <w:tc>
          <w:tcPr>
            <w:tcW w:w="284" w:type="dxa"/>
            <w:tcBorders>
              <w:top w:val="nil"/>
              <w:left w:val="nil"/>
              <w:bottom w:val="nil"/>
              <w:right w:val="nil"/>
            </w:tcBorders>
          </w:tcPr>
          <w:p w14:paraId="7B5585F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bottom w:val="nil"/>
              <w:right w:val="nil"/>
            </w:tcBorders>
          </w:tcPr>
          <w:p w14:paraId="1B0057AE" w14:textId="77777777" w:rsidR="000251CF" w:rsidRPr="000251CF" w:rsidRDefault="000251CF" w:rsidP="000251CF">
            <w:pPr>
              <w:autoSpaceDE w:val="0"/>
              <w:autoSpaceDN w:val="0"/>
              <w:adjustRightInd w:val="0"/>
              <w:spacing w:before="0" w:after="0" w:line="240" w:lineRule="auto"/>
              <w:ind w:hanging="417"/>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15,963,455</w:t>
            </w:r>
          </w:p>
        </w:tc>
      </w:tr>
      <w:tr w:rsidR="000251CF" w:rsidRPr="000251CF" w14:paraId="62781355" w14:textId="77777777" w:rsidTr="0088213C">
        <w:trPr>
          <w:trHeight w:val="233"/>
        </w:trPr>
        <w:tc>
          <w:tcPr>
            <w:tcW w:w="331" w:type="dxa"/>
            <w:tcBorders>
              <w:top w:val="nil"/>
              <w:left w:val="nil"/>
              <w:bottom w:val="nil"/>
              <w:right w:val="nil"/>
            </w:tcBorders>
          </w:tcPr>
          <w:p w14:paraId="153A78F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59" w:type="dxa"/>
            <w:tcBorders>
              <w:top w:val="nil"/>
              <w:left w:val="nil"/>
              <w:bottom w:val="nil"/>
              <w:right w:val="nil"/>
            </w:tcBorders>
          </w:tcPr>
          <w:p w14:paraId="7F3F18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708" w:type="dxa"/>
            <w:tcBorders>
              <w:top w:val="nil"/>
              <w:left w:val="nil"/>
              <w:bottom w:val="nil"/>
              <w:right w:val="nil"/>
            </w:tcBorders>
          </w:tcPr>
          <w:p w14:paraId="32AD538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E6B65C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392D1C9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4" w:type="dxa"/>
            <w:tcBorders>
              <w:top w:val="nil"/>
              <w:left w:val="nil"/>
              <w:bottom w:val="nil"/>
              <w:right w:val="nil"/>
            </w:tcBorders>
          </w:tcPr>
          <w:p w14:paraId="12AE089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398C9D3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43E6168C" w14:textId="77777777" w:rsidTr="0088213C">
        <w:trPr>
          <w:trHeight w:val="247"/>
        </w:trPr>
        <w:tc>
          <w:tcPr>
            <w:tcW w:w="4990" w:type="dxa"/>
            <w:gridSpan w:val="2"/>
            <w:tcBorders>
              <w:top w:val="nil"/>
              <w:left w:val="nil"/>
              <w:bottom w:val="nil"/>
              <w:right w:val="nil"/>
            </w:tcBorders>
          </w:tcPr>
          <w:p w14:paraId="338A813E"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Operating Result from Continuing Operations</w:t>
            </w:r>
          </w:p>
        </w:tc>
        <w:tc>
          <w:tcPr>
            <w:tcW w:w="708" w:type="dxa"/>
            <w:tcBorders>
              <w:top w:val="nil"/>
              <w:left w:val="nil"/>
              <w:bottom w:val="nil"/>
              <w:right w:val="nil"/>
            </w:tcBorders>
          </w:tcPr>
          <w:p w14:paraId="638CE76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2F978B3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83" w:type="dxa"/>
            <w:tcBorders>
              <w:top w:val="single" w:sz="6" w:space="0" w:color="auto"/>
              <w:left w:val="nil"/>
              <w:bottom w:val="double" w:sz="6" w:space="0" w:color="auto"/>
              <w:right w:val="nil"/>
            </w:tcBorders>
          </w:tcPr>
          <w:p w14:paraId="63C429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(943,533)</w:t>
            </w:r>
          </w:p>
        </w:tc>
        <w:tc>
          <w:tcPr>
            <w:tcW w:w="284" w:type="dxa"/>
            <w:tcBorders>
              <w:top w:val="nil"/>
              <w:left w:val="nil"/>
              <w:bottom w:val="nil"/>
              <w:right w:val="nil"/>
            </w:tcBorders>
          </w:tcPr>
          <w:p w14:paraId="7781844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single" w:sz="6" w:space="0" w:color="auto"/>
              <w:left w:val="nil"/>
              <w:bottom w:val="double" w:sz="6" w:space="0" w:color="auto"/>
              <w:right w:val="nil"/>
            </w:tcBorders>
          </w:tcPr>
          <w:p w14:paraId="3EBBC0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(605,072)</w:t>
            </w:r>
          </w:p>
        </w:tc>
      </w:tr>
      <w:tr w:rsidR="000251CF" w:rsidRPr="000251CF" w14:paraId="7745C076" w14:textId="77777777" w:rsidTr="0088213C">
        <w:trPr>
          <w:trHeight w:val="247"/>
        </w:trPr>
        <w:tc>
          <w:tcPr>
            <w:tcW w:w="331" w:type="dxa"/>
            <w:tcBorders>
              <w:top w:val="nil"/>
              <w:left w:val="nil"/>
              <w:bottom w:val="nil"/>
              <w:right w:val="nil"/>
            </w:tcBorders>
          </w:tcPr>
          <w:p w14:paraId="6CFBE4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4659" w:type="dxa"/>
            <w:tcBorders>
              <w:top w:val="nil"/>
              <w:left w:val="nil"/>
              <w:bottom w:val="nil"/>
              <w:right w:val="nil"/>
            </w:tcBorders>
          </w:tcPr>
          <w:p w14:paraId="1683AF8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708" w:type="dxa"/>
            <w:tcBorders>
              <w:top w:val="nil"/>
              <w:left w:val="nil"/>
              <w:bottom w:val="nil"/>
              <w:right w:val="nil"/>
            </w:tcBorders>
          </w:tcPr>
          <w:p w14:paraId="54F1D22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C1791D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nil"/>
              <w:left w:val="nil"/>
              <w:bottom w:val="nil"/>
              <w:right w:val="nil"/>
            </w:tcBorders>
          </w:tcPr>
          <w:p w14:paraId="0F4281A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84" w:type="dxa"/>
            <w:tcBorders>
              <w:top w:val="nil"/>
              <w:left w:val="nil"/>
              <w:bottom w:val="nil"/>
              <w:right w:val="nil"/>
            </w:tcBorders>
          </w:tcPr>
          <w:p w14:paraId="0574C56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6BC4C8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470AE49" w14:textId="77777777" w:rsidTr="0088213C">
        <w:trPr>
          <w:trHeight w:val="247"/>
        </w:trPr>
        <w:tc>
          <w:tcPr>
            <w:tcW w:w="4990" w:type="dxa"/>
            <w:gridSpan w:val="2"/>
            <w:tcBorders>
              <w:top w:val="nil"/>
              <w:left w:val="nil"/>
              <w:bottom w:val="nil"/>
              <w:right w:val="nil"/>
            </w:tcBorders>
          </w:tcPr>
          <w:p w14:paraId="49F5649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Comprehensive Income</w:t>
            </w:r>
          </w:p>
        </w:tc>
        <w:tc>
          <w:tcPr>
            <w:tcW w:w="708" w:type="dxa"/>
            <w:tcBorders>
              <w:top w:val="nil"/>
              <w:left w:val="nil"/>
              <w:bottom w:val="nil"/>
              <w:right w:val="nil"/>
            </w:tcBorders>
          </w:tcPr>
          <w:p w14:paraId="6620696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0478033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83" w:type="dxa"/>
            <w:tcBorders>
              <w:top w:val="single" w:sz="6" w:space="0" w:color="auto"/>
              <w:left w:val="nil"/>
              <w:bottom w:val="double" w:sz="6" w:space="0" w:color="auto"/>
              <w:right w:val="nil"/>
            </w:tcBorders>
          </w:tcPr>
          <w:p w14:paraId="0B1F047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(943,533)</w:t>
            </w:r>
          </w:p>
        </w:tc>
        <w:tc>
          <w:tcPr>
            <w:tcW w:w="284" w:type="dxa"/>
            <w:tcBorders>
              <w:top w:val="nil"/>
              <w:left w:val="nil"/>
              <w:bottom w:val="nil"/>
              <w:right w:val="nil"/>
            </w:tcBorders>
          </w:tcPr>
          <w:p w14:paraId="3FFAC2F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single" w:sz="6" w:space="0" w:color="auto"/>
              <w:left w:val="nil"/>
              <w:bottom w:val="double" w:sz="6" w:space="0" w:color="auto"/>
              <w:right w:val="nil"/>
            </w:tcBorders>
          </w:tcPr>
          <w:p w14:paraId="1215412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(605,072)</w:t>
            </w:r>
          </w:p>
        </w:tc>
      </w:tr>
    </w:tbl>
    <w:p w14:paraId="33CA737F" w14:textId="77777777" w:rsidR="00043D9D" w:rsidRDefault="00043D9D" w:rsidP="00A92AFD">
      <w:pPr>
        <w:rPr>
          <w:highlight w:val="yellow"/>
        </w:rPr>
      </w:pPr>
    </w:p>
    <w:p w14:paraId="3E85CFD7" w14:textId="77777777" w:rsidR="007277D1" w:rsidRPr="001F58DD" w:rsidRDefault="007277D1" w:rsidP="00A92AFD">
      <w:pPr>
        <w:rPr>
          <w:highlight w:val="yellow"/>
        </w:rPr>
      </w:pPr>
    </w:p>
    <w:p w14:paraId="4480C3D8" w14:textId="77777777" w:rsidR="00A92AFD" w:rsidRPr="00F86990" w:rsidRDefault="00A92AFD" w:rsidP="00A92AFD">
      <w:pPr>
        <w:pStyle w:val="TableNote"/>
        <w:rPr>
          <w:sz w:val="16"/>
          <w:szCs w:val="16"/>
        </w:rPr>
      </w:pPr>
      <w:r w:rsidRPr="00F86990">
        <w:rPr>
          <w:sz w:val="16"/>
          <w:szCs w:val="16"/>
        </w:rPr>
        <w:t>The accompanying notes form part of these financial statements</w:t>
      </w:r>
    </w:p>
    <w:p w14:paraId="049C8E7A" w14:textId="77777777" w:rsidR="007B29E3" w:rsidRDefault="007B29E3" w:rsidP="00DD461D">
      <w:pPr>
        <w:tabs>
          <w:tab w:val="left" w:pos="1590"/>
        </w:tabs>
        <w:rPr>
          <w:highlight w:val="yellow"/>
        </w:rPr>
      </w:pPr>
    </w:p>
    <w:p w14:paraId="05128D9B" w14:textId="77777777" w:rsidR="007B29E3" w:rsidRDefault="007B29E3" w:rsidP="00DD461D">
      <w:pPr>
        <w:tabs>
          <w:tab w:val="left" w:pos="1590"/>
        </w:tabs>
        <w:rPr>
          <w:highlight w:val="yellow"/>
        </w:rPr>
      </w:pPr>
    </w:p>
    <w:p w14:paraId="33CF1806" w14:textId="1BB7FB92" w:rsidR="007B29E3" w:rsidRDefault="007B29E3" w:rsidP="00DD461D">
      <w:pPr>
        <w:tabs>
          <w:tab w:val="left" w:pos="1590"/>
        </w:tabs>
        <w:rPr>
          <w:highlight w:val="yellow"/>
        </w:rPr>
      </w:pPr>
    </w:p>
    <w:p w14:paraId="7C3AC0AA" w14:textId="5F99E047" w:rsidR="00DE26E7" w:rsidRDefault="00DE26E7" w:rsidP="00DD461D">
      <w:pPr>
        <w:tabs>
          <w:tab w:val="left" w:pos="1590"/>
        </w:tabs>
        <w:rPr>
          <w:highlight w:val="yellow"/>
        </w:rPr>
      </w:pPr>
    </w:p>
    <w:p w14:paraId="2D3DDA1D" w14:textId="77777777" w:rsidR="00DE26E7" w:rsidRDefault="00DE26E7" w:rsidP="00DD461D">
      <w:pPr>
        <w:tabs>
          <w:tab w:val="left" w:pos="1590"/>
        </w:tabs>
        <w:rPr>
          <w:highlight w:val="yellow"/>
        </w:rPr>
      </w:pPr>
    </w:p>
    <w:p w14:paraId="2AD9782C" w14:textId="77777777" w:rsidR="007B29E3" w:rsidRDefault="007B29E3" w:rsidP="00DD461D">
      <w:pPr>
        <w:tabs>
          <w:tab w:val="left" w:pos="1590"/>
        </w:tabs>
        <w:rPr>
          <w:highlight w:val="yellow"/>
        </w:rPr>
      </w:pPr>
    </w:p>
    <w:p w14:paraId="73E3E93A" w14:textId="77777777" w:rsidR="007B29E3" w:rsidRDefault="007B29E3" w:rsidP="00DD461D">
      <w:pPr>
        <w:tabs>
          <w:tab w:val="left" w:pos="1590"/>
        </w:tabs>
        <w:rPr>
          <w:highlight w:val="yellow"/>
        </w:rPr>
      </w:pPr>
    </w:p>
    <w:p w14:paraId="09774D96" w14:textId="77777777" w:rsidR="007B29E3" w:rsidRDefault="007B29E3" w:rsidP="00DD461D">
      <w:pPr>
        <w:tabs>
          <w:tab w:val="left" w:pos="1590"/>
        </w:tabs>
        <w:rPr>
          <w:highlight w:val="yellow"/>
        </w:rPr>
      </w:pPr>
    </w:p>
    <w:p w14:paraId="144CAD57" w14:textId="5485DBEE" w:rsidR="007B29E3" w:rsidRDefault="007B29E3" w:rsidP="00DE26E7">
      <w:pPr>
        <w:tabs>
          <w:tab w:val="left" w:pos="1590"/>
        </w:tabs>
        <w:ind w:left="851" w:firstLine="6804"/>
        <w:rPr>
          <w:highlight w:val="yellow"/>
        </w:rPr>
      </w:pPr>
    </w:p>
    <w:p w14:paraId="45544039" w14:textId="1E079A4B" w:rsidR="00DD461D" w:rsidRPr="00A30E01" w:rsidRDefault="00C942DD" w:rsidP="00DD461D">
      <w:pPr>
        <w:pStyle w:val="Heading2"/>
      </w:pPr>
      <w:r w:rsidRPr="00C942DD">
        <w:rPr>
          <w:highlight w:val="yellow"/>
        </w:rPr>
        <w:t xml:space="preserve"> </w:t>
      </w:r>
      <w:r w:rsidRPr="00C942DD">
        <w:rPr>
          <w:highlight w:val="yellow"/>
        </w:rPr>
        <w:br w:type="page"/>
      </w:r>
      <w:bookmarkStart w:id="215" w:name="_Toc426032360"/>
      <w:bookmarkStart w:id="216" w:name="_Toc428256774"/>
      <w:bookmarkStart w:id="217" w:name="_Toc487532146"/>
      <w:bookmarkStart w:id="218" w:name="_Toc487614523"/>
      <w:bookmarkStart w:id="219" w:name="_Toc520282165"/>
      <w:bookmarkStart w:id="220" w:name="_Toc80792968"/>
      <w:r w:rsidR="00A74B74" w:rsidRPr="004D2A0B">
        <w:lastRenderedPageBreak/>
        <w:t>Statement of financial position</w:t>
      </w:r>
      <w:bookmarkEnd w:id="215"/>
      <w:bookmarkEnd w:id="216"/>
      <w:bookmarkEnd w:id="217"/>
      <w:bookmarkEnd w:id="218"/>
      <w:bookmarkEnd w:id="219"/>
      <w:bookmarkEnd w:id="220"/>
    </w:p>
    <w:p w14:paraId="60D8C476" w14:textId="240EA3DF" w:rsidR="00D1587D" w:rsidRDefault="00D1587D" w:rsidP="00D1587D">
      <w:pPr>
        <w:rPr>
          <w:i/>
          <w:sz w:val="16"/>
          <w:szCs w:val="16"/>
        </w:rPr>
      </w:pPr>
      <w:r w:rsidRPr="00B5346A">
        <w:rPr>
          <w:i/>
          <w:sz w:val="16"/>
          <w:szCs w:val="16"/>
        </w:rPr>
        <w:t xml:space="preserve">as </w:t>
      </w:r>
      <w:proofErr w:type="gramStart"/>
      <w:r w:rsidRPr="00B5346A">
        <w:rPr>
          <w:i/>
          <w:sz w:val="16"/>
          <w:szCs w:val="16"/>
        </w:rPr>
        <w:t>at</w:t>
      </w:r>
      <w:proofErr w:type="gramEnd"/>
      <w:r w:rsidRPr="00B5346A">
        <w:rPr>
          <w:i/>
          <w:sz w:val="16"/>
          <w:szCs w:val="16"/>
        </w:rPr>
        <w:t xml:space="preserve"> 30 June 20</w:t>
      </w:r>
      <w:r w:rsidR="005B4464">
        <w:rPr>
          <w:i/>
          <w:sz w:val="16"/>
          <w:szCs w:val="16"/>
        </w:rPr>
        <w:t>2</w:t>
      </w:r>
      <w:r w:rsidR="00F557CB">
        <w:rPr>
          <w:i/>
          <w:sz w:val="16"/>
          <w:szCs w:val="16"/>
        </w:rPr>
        <w:t>1</w:t>
      </w:r>
    </w:p>
    <w:p w14:paraId="76F5DA3A" w14:textId="1008A91C" w:rsidR="00D1587D" w:rsidRDefault="00D1587D" w:rsidP="00D1587D">
      <w:pPr>
        <w:rPr>
          <w:i/>
          <w:sz w:val="16"/>
          <w:szCs w:val="16"/>
        </w:rPr>
      </w:pPr>
    </w:p>
    <w:tbl>
      <w:tblPr>
        <w:tblW w:w="9101" w:type="dxa"/>
        <w:tblInd w:w="-30" w:type="dxa"/>
        <w:tblLayout w:type="fixed"/>
        <w:tblLook w:val="0000" w:firstRow="0" w:lastRow="0" w:firstColumn="0" w:lastColumn="0" w:noHBand="0" w:noVBand="0"/>
      </w:tblPr>
      <w:tblGrid>
        <w:gridCol w:w="331"/>
        <w:gridCol w:w="4606"/>
        <w:gridCol w:w="631"/>
        <w:gridCol w:w="362"/>
        <w:gridCol w:w="1342"/>
        <w:gridCol w:w="362"/>
        <w:gridCol w:w="1467"/>
      </w:tblGrid>
      <w:tr w:rsidR="000251CF" w:rsidRPr="000251CF" w14:paraId="7911FA31" w14:textId="77777777" w:rsidTr="0088213C">
        <w:trPr>
          <w:trHeight w:val="262"/>
        </w:trPr>
        <w:tc>
          <w:tcPr>
            <w:tcW w:w="331" w:type="dxa"/>
            <w:tcBorders>
              <w:top w:val="nil"/>
              <w:left w:val="nil"/>
              <w:bottom w:val="nil"/>
              <w:right w:val="nil"/>
            </w:tcBorders>
          </w:tcPr>
          <w:p w14:paraId="0EE2F99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348D04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 w:type="dxa"/>
            <w:gridSpan w:val="2"/>
            <w:tcBorders>
              <w:top w:val="nil"/>
              <w:left w:val="nil"/>
              <w:bottom w:val="nil"/>
              <w:right w:val="nil"/>
            </w:tcBorders>
            <w:shd w:val="solid" w:color="C0C0C0" w:fill="auto"/>
          </w:tcPr>
          <w:p w14:paraId="20FAE6E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Notes</w:t>
            </w:r>
          </w:p>
        </w:tc>
        <w:tc>
          <w:tcPr>
            <w:tcW w:w="1342" w:type="dxa"/>
            <w:tcBorders>
              <w:top w:val="nil"/>
              <w:left w:val="nil"/>
              <w:bottom w:val="nil"/>
              <w:right w:val="nil"/>
            </w:tcBorders>
            <w:shd w:val="solid" w:color="C0C0C0" w:fill="auto"/>
          </w:tcPr>
          <w:p w14:paraId="5479008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362" w:type="dxa"/>
            <w:tcBorders>
              <w:top w:val="nil"/>
              <w:left w:val="nil"/>
              <w:bottom w:val="nil"/>
              <w:right w:val="nil"/>
            </w:tcBorders>
            <w:shd w:val="solid" w:color="C0C0C0" w:fill="auto"/>
          </w:tcPr>
          <w:p w14:paraId="41157E3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nil"/>
              <w:left w:val="nil"/>
              <w:bottom w:val="nil"/>
              <w:right w:val="nil"/>
            </w:tcBorders>
            <w:shd w:val="solid" w:color="C0C0C0" w:fill="auto"/>
          </w:tcPr>
          <w:p w14:paraId="709757D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1CFEC47B" w14:textId="77777777" w:rsidTr="0088213C">
        <w:trPr>
          <w:trHeight w:val="233"/>
        </w:trPr>
        <w:tc>
          <w:tcPr>
            <w:tcW w:w="331" w:type="dxa"/>
            <w:tcBorders>
              <w:top w:val="nil"/>
              <w:left w:val="nil"/>
              <w:bottom w:val="nil"/>
              <w:right w:val="nil"/>
            </w:tcBorders>
          </w:tcPr>
          <w:p w14:paraId="41B82C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4606" w:type="dxa"/>
            <w:tcBorders>
              <w:top w:val="nil"/>
              <w:left w:val="nil"/>
              <w:bottom w:val="nil"/>
              <w:right w:val="nil"/>
            </w:tcBorders>
          </w:tcPr>
          <w:p w14:paraId="518C35F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631" w:type="dxa"/>
            <w:tcBorders>
              <w:top w:val="nil"/>
              <w:left w:val="nil"/>
              <w:bottom w:val="nil"/>
              <w:right w:val="nil"/>
            </w:tcBorders>
            <w:shd w:val="solid" w:color="C0C0C0" w:fill="auto"/>
          </w:tcPr>
          <w:p w14:paraId="0AFF610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shd w:val="solid" w:color="C0C0C0" w:fill="auto"/>
          </w:tcPr>
          <w:p w14:paraId="023A460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nil"/>
              <w:left w:val="nil"/>
              <w:bottom w:val="nil"/>
              <w:right w:val="nil"/>
            </w:tcBorders>
            <w:shd w:val="solid" w:color="C0C0C0" w:fill="auto"/>
          </w:tcPr>
          <w:p w14:paraId="109C3C8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362" w:type="dxa"/>
            <w:tcBorders>
              <w:top w:val="nil"/>
              <w:left w:val="nil"/>
              <w:bottom w:val="nil"/>
              <w:right w:val="nil"/>
            </w:tcBorders>
            <w:shd w:val="solid" w:color="C0C0C0" w:fill="auto"/>
          </w:tcPr>
          <w:p w14:paraId="54CAC84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nil"/>
              <w:left w:val="nil"/>
              <w:bottom w:val="nil"/>
              <w:right w:val="nil"/>
            </w:tcBorders>
            <w:shd w:val="solid" w:color="C0C0C0" w:fill="auto"/>
          </w:tcPr>
          <w:p w14:paraId="0273513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4EF6FEAC" w14:textId="77777777" w:rsidTr="0088213C">
        <w:trPr>
          <w:trHeight w:val="233"/>
        </w:trPr>
        <w:tc>
          <w:tcPr>
            <w:tcW w:w="1" w:type="dxa"/>
            <w:gridSpan w:val="2"/>
            <w:tcBorders>
              <w:top w:val="nil"/>
              <w:left w:val="nil"/>
              <w:bottom w:val="nil"/>
              <w:right w:val="nil"/>
            </w:tcBorders>
          </w:tcPr>
          <w:p w14:paraId="74C469F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Current Assets</w:t>
            </w:r>
          </w:p>
        </w:tc>
        <w:tc>
          <w:tcPr>
            <w:tcW w:w="631" w:type="dxa"/>
            <w:tcBorders>
              <w:top w:val="nil"/>
              <w:left w:val="nil"/>
              <w:bottom w:val="nil"/>
              <w:right w:val="nil"/>
            </w:tcBorders>
          </w:tcPr>
          <w:p w14:paraId="2E21296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93F239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1644843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D91D6B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67" w:type="dxa"/>
            <w:tcBorders>
              <w:top w:val="nil"/>
              <w:left w:val="nil"/>
              <w:bottom w:val="nil"/>
              <w:right w:val="nil"/>
            </w:tcBorders>
          </w:tcPr>
          <w:p w14:paraId="3EE76AB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r>
      <w:tr w:rsidR="000251CF" w:rsidRPr="000251CF" w14:paraId="01994196" w14:textId="77777777" w:rsidTr="0088213C">
        <w:trPr>
          <w:trHeight w:val="233"/>
        </w:trPr>
        <w:tc>
          <w:tcPr>
            <w:tcW w:w="331" w:type="dxa"/>
            <w:tcBorders>
              <w:top w:val="nil"/>
              <w:left w:val="nil"/>
              <w:bottom w:val="nil"/>
              <w:right w:val="nil"/>
            </w:tcBorders>
          </w:tcPr>
          <w:p w14:paraId="7494EB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1026A663"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Cash and Cash Equivalents</w:t>
            </w:r>
          </w:p>
        </w:tc>
        <w:tc>
          <w:tcPr>
            <w:tcW w:w="631" w:type="dxa"/>
            <w:tcBorders>
              <w:top w:val="nil"/>
              <w:left w:val="nil"/>
              <w:bottom w:val="nil"/>
              <w:right w:val="nil"/>
            </w:tcBorders>
          </w:tcPr>
          <w:p w14:paraId="35C9DD2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11</w:t>
            </w:r>
          </w:p>
        </w:tc>
        <w:tc>
          <w:tcPr>
            <w:tcW w:w="362" w:type="dxa"/>
            <w:tcBorders>
              <w:top w:val="nil"/>
              <w:left w:val="nil"/>
              <w:bottom w:val="nil"/>
              <w:right w:val="nil"/>
            </w:tcBorders>
          </w:tcPr>
          <w:p w14:paraId="1C3551E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4493914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9,078,032</w:t>
            </w:r>
          </w:p>
        </w:tc>
        <w:tc>
          <w:tcPr>
            <w:tcW w:w="362" w:type="dxa"/>
            <w:tcBorders>
              <w:top w:val="nil"/>
              <w:left w:val="nil"/>
              <w:bottom w:val="nil"/>
              <w:right w:val="nil"/>
            </w:tcBorders>
          </w:tcPr>
          <w:p w14:paraId="6C39883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762B98F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11,911,627</w:t>
            </w:r>
          </w:p>
        </w:tc>
      </w:tr>
      <w:tr w:rsidR="000251CF" w:rsidRPr="000251CF" w14:paraId="427CEA07" w14:textId="77777777" w:rsidTr="0088213C">
        <w:trPr>
          <w:trHeight w:val="233"/>
        </w:trPr>
        <w:tc>
          <w:tcPr>
            <w:tcW w:w="331" w:type="dxa"/>
            <w:tcBorders>
              <w:top w:val="nil"/>
              <w:left w:val="nil"/>
              <w:bottom w:val="nil"/>
              <w:right w:val="nil"/>
            </w:tcBorders>
          </w:tcPr>
          <w:p w14:paraId="6F75CDF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156B589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Receivables</w:t>
            </w:r>
          </w:p>
        </w:tc>
        <w:tc>
          <w:tcPr>
            <w:tcW w:w="631" w:type="dxa"/>
            <w:tcBorders>
              <w:top w:val="nil"/>
              <w:left w:val="nil"/>
              <w:bottom w:val="nil"/>
              <w:right w:val="nil"/>
            </w:tcBorders>
          </w:tcPr>
          <w:p w14:paraId="523298C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12</w:t>
            </w:r>
          </w:p>
        </w:tc>
        <w:tc>
          <w:tcPr>
            <w:tcW w:w="362" w:type="dxa"/>
            <w:tcBorders>
              <w:top w:val="nil"/>
              <w:left w:val="nil"/>
              <w:bottom w:val="nil"/>
              <w:right w:val="nil"/>
            </w:tcBorders>
          </w:tcPr>
          <w:p w14:paraId="7A1B26A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7EA6251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1,820,149</w:t>
            </w:r>
          </w:p>
        </w:tc>
        <w:tc>
          <w:tcPr>
            <w:tcW w:w="362" w:type="dxa"/>
            <w:tcBorders>
              <w:top w:val="nil"/>
              <w:left w:val="nil"/>
              <w:bottom w:val="nil"/>
              <w:right w:val="nil"/>
            </w:tcBorders>
          </w:tcPr>
          <w:p w14:paraId="46E9B02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0E17CF6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928,943</w:t>
            </w:r>
          </w:p>
        </w:tc>
      </w:tr>
      <w:tr w:rsidR="000251CF" w:rsidRPr="000251CF" w14:paraId="5C5996C6" w14:textId="77777777" w:rsidTr="0088213C">
        <w:trPr>
          <w:trHeight w:val="233"/>
        </w:trPr>
        <w:tc>
          <w:tcPr>
            <w:tcW w:w="331" w:type="dxa"/>
            <w:tcBorders>
              <w:top w:val="nil"/>
              <w:left w:val="nil"/>
              <w:bottom w:val="nil"/>
              <w:right w:val="nil"/>
            </w:tcBorders>
          </w:tcPr>
          <w:p w14:paraId="4D2AE42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0180D08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Other </w:t>
            </w:r>
          </w:p>
        </w:tc>
        <w:tc>
          <w:tcPr>
            <w:tcW w:w="631" w:type="dxa"/>
            <w:tcBorders>
              <w:top w:val="nil"/>
              <w:left w:val="nil"/>
              <w:bottom w:val="nil"/>
              <w:right w:val="nil"/>
            </w:tcBorders>
          </w:tcPr>
          <w:p w14:paraId="45CC31F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5A4CA2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single" w:sz="6" w:space="0" w:color="auto"/>
              <w:right w:val="nil"/>
            </w:tcBorders>
          </w:tcPr>
          <w:p w14:paraId="5DEC638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389,845</w:t>
            </w:r>
          </w:p>
        </w:tc>
        <w:tc>
          <w:tcPr>
            <w:tcW w:w="362" w:type="dxa"/>
            <w:tcBorders>
              <w:top w:val="nil"/>
              <w:left w:val="nil"/>
              <w:bottom w:val="nil"/>
              <w:right w:val="nil"/>
            </w:tcBorders>
          </w:tcPr>
          <w:p w14:paraId="50B2392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single" w:sz="6" w:space="0" w:color="auto"/>
              <w:right w:val="nil"/>
            </w:tcBorders>
          </w:tcPr>
          <w:p w14:paraId="60489A7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395,067</w:t>
            </w:r>
          </w:p>
        </w:tc>
      </w:tr>
      <w:tr w:rsidR="000251CF" w:rsidRPr="000251CF" w14:paraId="4716208B" w14:textId="77777777" w:rsidTr="0088213C">
        <w:trPr>
          <w:trHeight w:val="233"/>
        </w:trPr>
        <w:tc>
          <w:tcPr>
            <w:tcW w:w="1" w:type="dxa"/>
            <w:gridSpan w:val="2"/>
            <w:tcBorders>
              <w:top w:val="nil"/>
              <w:left w:val="nil"/>
              <w:bottom w:val="nil"/>
              <w:right w:val="nil"/>
            </w:tcBorders>
          </w:tcPr>
          <w:p w14:paraId="73FA0CD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Current Assets</w:t>
            </w:r>
          </w:p>
        </w:tc>
        <w:tc>
          <w:tcPr>
            <w:tcW w:w="631" w:type="dxa"/>
            <w:tcBorders>
              <w:top w:val="nil"/>
              <w:left w:val="nil"/>
              <w:bottom w:val="nil"/>
              <w:right w:val="nil"/>
            </w:tcBorders>
          </w:tcPr>
          <w:p w14:paraId="5ACB3E9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422D006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nil"/>
              <w:left w:val="nil"/>
              <w:bottom w:val="nil"/>
              <w:right w:val="nil"/>
            </w:tcBorders>
          </w:tcPr>
          <w:p w14:paraId="5374FED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11,288,026</w:t>
            </w:r>
          </w:p>
        </w:tc>
        <w:tc>
          <w:tcPr>
            <w:tcW w:w="362" w:type="dxa"/>
            <w:tcBorders>
              <w:top w:val="nil"/>
              <w:left w:val="nil"/>
              <w:bottom w:val="nil"/>
              <w:right w:val="nil"/>
            </w:tcBorders>
          </w:tcPr>
          <w:p w14:paraId="4A61DB1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nil"/>
              <w:left w:val="nil"/>
              <w:bottom w:val="nil"/>
              <w:right w:val="nil"/>
            </w:tcBorders>
          </w:tcPr>
          <w:p w14:paraId="271E0E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13,235,637</w:t>
            </w:r>
          </w:p>
        </w:tc>
      </w:tr>
      <w:tr w:rsidR="000251CF" w:rsidRPr="000251CF" w14:paraId="504A579F" w14:textId="77777777" w:rsidTr="0088213C">
        <w:trPr>
          <w:trHeight w:val="233"/>
        </w:trPr>
        <w:tc>
          <w:tcPr>
            <w:tcW w:w="331" w:type="dxa"/>
            <w:tcBorders>
              <w:top w:val="nil"/>
              <w:left w:val="nil"/>
              <w:bottom w:val="nil"/>
              <w:right w:val="nil"/>
            </w:tcBorders>
          </w:tcPr>
          <w:p w14:paraId="36EB46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7AEFB90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5999765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6F5CCD2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563829B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43A425F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0B517D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0C1318F" w14:textId="77777777" w:rsidTr="0088213C">
        <w:trPr>
          <w:trHeight w:val="233"/>
        </w:trPr>
        <w:tc>
          <w:tcPr>
            <w:tcW w:w="1" w:type="dxa"/>
            <w:gridSpan w:val="2"/>
            <w:tcBorders>
              <w:top w:val="nil"/>
              <w:left w:val="nil"/>
              <w:bottom w:val="nil"/>
              <w:right w:val="nil"/>
            </w:tcBorders>
          </w:tcPr>
          <w:p w14:paraId="4F1060F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roofErr w:type="spellStart"/>
            <w:proofErr w:type="gramStart"/>
            <w:r w:rsidRPr="000251CF">
              <w:rPr>
                <w:rFonts w:ascii="Tahoma" w:eastAsia="Times New Roman" w:hAnsi="Tahoma" w:cs="Tahoma"/>
                <w:b/>
                <w:bCs/>
                <w:color w:val="000000"/>
                <w:sz w:val="16"/>
                <w:szCs w:val="16"/>
              </w:rPr>
              <w:t>Non Current</w:t>
            </w:r>
            <w:proofErr w:type="spellEnd"/>
            <w:proofErr w:type="gramEnd"/>
            <w:r w:rsidRPr="000251CF">
              <w:rPr>
                <w:rFonts w:ascii="Tahoma" w:eastAsia="Times New Roman" w:hAnsi="Tahoma" w:cs="Tahoma"/>
                <w:b/>
                <w:bCs/>
                <w:color w:val="000000"/>
                <w:sz w:val="16"/>
                <w:szCs w:val="16"/>
              </w:rPr>
              <w:t xml:space="preserve"> Assets</w:t>
            </w:r>
          </w:p>
        </w:tc>
        <w:tc>
          <w:tcPr>
            <w:tcW w:w="631" w:type="dxa"/>
            <w:tcBorders>
              <w:top w:val="nil"/>
              <w:left w:val="nil"/>
              <w:bottom w:val="nil"/>
              <w:right w:val="nil"/>
            </w:tcBorders>
          </w:tcPr>
          <w:p w14:paraId="4264439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1B81AE4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5906C88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7446F55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613F34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2BC44FFA" w14:textId="77777777" w:rsidTr="0088213C">
        <w:trPr>
          <w:trHeight w:val="233"/>
        </w:trPr>
        <w:tc>
          <w:tcPr>
            <w:tcW w:w="331" w:type="dxa"/>
            <w:tcBorders>
              <w:top w:val="nil"/>
              <w:left w:val="nil"/>
              <w:bottom w:val="nil"/>
              <w:right w:val="nil"/>
            </w:tcBorders>
          </w:tcPr>
          <w:p w14:paraId="1E970FE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244A837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Plant and Equipment</w:t>
            </w:r>
          </w:p>
        </w:tc>
        <w:tc>
          <w:tcPr>
            <w:tcW w:w="631" w:type="dxa"/>
            <w:tcBorders>
              <w:top w:val="nil"/>
              <w:left w:val="nil"/>
              <w:bottom w:val="nil"/>
              <w:right w:val="nil"/>
            </w:tcBorders>
          </w:tcPr>
          <w:p w14:paraId="59A21E9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13</w:t>
            </w:r>
          </w:p>
        </w:tc>
        <w:tc>
          <w:tcPr>
            <w:tcW w:w="362" w:type="dxa"/>
            <w:tcBorders>
              <w:top w:val="nil"/>
              <w:left w:val="nil"/>
              <w:bottom w:val="nil"/>
              <w:right w:val="nil"/>
            </w:tcBorders>
          </w:tcPr>
          <w:p w14:paraId="3B7C165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2272DEA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740,179</w:t>
            </w:r>
          </w:p>
        </w:tc>
        <w:tc>
          <w:tcPr>
            <w:tcW w:w="362" w:type="dxa"/>
            <w:tcBorders>
              <w:top w:val="nil"/>
              <w:left w:val="nil"/>
              <w:bottom w:val="nil"/>
              <w:right w:val="nil"/>
            </w:tcBorders>
          </w:tcPr>
          <w:p w14:paraId="2BD38F1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6E2565E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1,138,783</w:t>
            </w:r>
          </w:p>
        </w:tc>
      </w:tr>
      <w:tr w:rsidR="000251CF" w:rsidRPr="000251CF" w14:paraId="08733E8C" w14:textId="77777777" w:rsidTr="0088213C">
        <w:trPr>
          <w:trHeight w:val="233"/>
        </w:trPr>
        <w:tc>
          <w:tcPr>
            <w:tcW w:w="331" w:type="dxa"/>
            <w:tcBorders>
              <w:top w:val="nil"/>
              <w:left w:val="nil"/>
              <w:bottom w:val="nil"/>
              <w:right w:val="nil"/>
            </w:tcBorders>
          </w:tcPr>
          <w:p w14:paraId="253CEE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2D9D604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Right-of-use Assets</w:t>
            </w:r>
          </w:p>
        </w:tc>
        <w:tc>
          <w:tcPr>
            <w:tcW w:w="631" w:type="dxa"/>
            <w:tcBorders>
              <w:top w:val="nil"/>
              <w:left w:val="nil"/>
              <w:bottom w:val="nil"/>
              <w:right w:val="nil"/>
            </w:tcBorders>
          </w:tcPr>
          <w:p w14:paraId="0983602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14</w:t>
            </w:r>
          </w:p>
        </w:tc>
        <w:tc>
          <w:tcPr>
            <w:tcW w:w="362" w:type="dxa"/>
            <w:tcBorders>
              <w:top w:val="nil"/>
              <w:left w:val="nil"/>
              <w:bottom w:val="nil"/>
              <w:right w:val="nil"/>
            </w:tcBorders>
          </w:tcPr>
          <w:p w14:paraId="100D9D2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single" w:sz="6" w:space="0" w:color="auto"/>
              <w:right w:val="nil"/>
            </w:tcBorders>
          </w:tcPr>
          <w:p w14:paraId="7551BB5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2,118,887</w:t>
            </w:r>
          </w:p>
        </w:tc>
        <w:tc>
          <w:tcPr>
            <w:tcW w:w="362" w:type="dxa"/>
            <w:tcBorders>
              <w:top w:val="nil"/>
              <w:left w:val="nil"/>
              <w:bottom w:val="nil"/>
              <w:right w:val="nil"/>
            </w:tcBorders>
          </w:tcPr>
          <w:p w14:paraId="5B8D46A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single" w:sz="6" w:space="0" w:color="auto"/>
              <w:right w:val="nil"/>
            </w:tcBorders>
          </w:tcPr>
          <w:p w14:paraId="55DC88A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3,614,579</w:t>
            </w:r>
          </w:p>
        </w:tc>
      </w:tr>
      <w:tr w:rsidR="000251CF" w:rsidRPr="000251CF" w14:paraId="35F2773E" w14:textId="77777777" w:rsidTr="0088213C">
        <w:trPr>
          <w:trHeight w:val="233"/>
        </w:trPr>
        <w:tc>
          <w:tcPr>
            <w:tcW w:w="1" w:type="dxa"/>
            <w:gridSpan w:val="2"/>
            <w:tcBorders>
              <w:top w:val="nil"/>
              <w:left w:val="nil"/>
              <w:bottom w:val="nil"/>
              <w:right w:val="nil"/>
            </w:tcBorders>
          </w:tcPr>
          <w:p w14:paraId="48332619"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Total </w:t>
            </w:r>
            <w:proofErr w:type="spellStart"/>
            <w:proofErr w:type="gramStart"/>
            <w:r w:rsidRPr="000251CF">
              <w:rPr>
                <w:rFonts w:ascii="Tahoma" w:eastAsia="Times New Roman" w:hAnsi="Tahoma" w:cs="Tahoma"/>
                <w:b/>
                <w:bCs/>
                <w:color w:val="000000"/>
                <w:sz w:val="16"/>
                <w:szCs w:val="16"/>
              </w:rPr>
              <w:t>Non Current</w:t>
            </w:r>
            <w:proofErr w:type="spellEnd"/>
            <w:proofErr w:type="gramEnd"/>
            <w:r w:rsidRPr="000251CF">
              <w:rPr>
                <w:rFonts w:ascii="Tahoma" w:eastAsia="Times New Roman" w:hAnsi="Tahoma" w:cs="Tahoma"/>
                <w:b/>
                <w:bCs/>
                <w:color w:val="000000"/>
                <w:sz w:val="16"/>
                <w:szCs w:val="16"/>
              </w:rPr>
              <w:t xml:space="preserve"> Assets</w:t>
            </w:r>
          </w:p>
        </w:tc>
        <w:tc>
          <w:tcPr>
            <w:tcW w:w="631" w:type="dxa"/>
            <w:tcBorders>
              <w:top w:val="nil"/>
              <w:left w:val="nil"/>
              <w:bottom w:val="nil"/>
              <w:right w:val="nil"/>
            </w:tcBorders>
          </w:tcPr>
          <w:p w14:paraId="6D49717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35938B2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nil"/>
              <w:left w:val="nil"/>
              <w:bottom w:val="nil"/>
              <w:right w:val="nil"/>
            </w:tcBorders>
          </w:tcPr>
          <w:p w14:paraId="784EEAD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2,859,066</w:t>
            </w:r>
          </w:p>
        </w:tc>
        <w:tc>
          <w:tcPr>
            <w:tcW w:w="362" w:type="dxa"/>
            <w:tcBorders>
              <w:top w:val="nil"/>
              <w:left w:val="nil"/>
              <w:bottom w:val="nil"/>
              <w:right w:val="nil"/>
            </w:tcBorders>
          </w:tcPr>
          <w:p w14:paraId="0693AAA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nil"/>
              <w:left w:val="nil"/>
              <w:bottom w:val="nil"/>
              <w:right w:val="nil"/>
            </w:tcBorders>
          </w:tcPr>
          <w:p w14:paraId="6A07527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4,753,362</w:t>
            </w:r>
          </w:p>
        </w:tc>
      </w:tr>
      <w:tr w:rsidR="000251CF" w:rsidRPr="000251CF" w14:paraId="16E64A6B" w14:textId="77777777" w:rsidTr="0088213C">
        <w:trPr>
          <w:trHeight w:val="233"/>
        </w:trPr>
        <w:tc>
          <w:tcPr>
            <w:tcW w:w="331" w:type="dxa"/>
            <w:tcBorders>
              <w:top w:val="nil"/>
              <w:left w:val="nil"/>
              <w:bottom w:val="nil"/>
              <w:right w:val="nil"/>
            </w:tcBorders>
          </w:tcPr>
          <w:p w14:paraId="31D5563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6059943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67989F3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652187A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525EF19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1F67A78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6692557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35CFC8EB" w14:textId="77777777" w:rsidTr="0088213C">
        <w:trPr>
          <w:trHeight w:val="247"/>
        </w:trPr>
        <w:tc>
          <w:tcPr>
            <w:tcW w:w="1" w:type="dxa"/>
            <w:gridSpan w:val="2"/>
            <w:tcBorders>
              <w:top w:val="nil"/>
              <w:left w:val="nil"/>
              <w:bottom w:val="nil"/>
              <w:right w:val="nil"/>
            </w:tcBorders>
          </w:tcPr>
          <w:p w14:paraId="1BC1B29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Assets</w:t>
            </w:r>
          </w:p>
        </w:tc>
        <w:tc>
          <w:tcPr>
            <w:tcW w:w="631" w:type="dxa"/>
            <w:tcBorders>
              <w:top w:val="nil"/>
              <w:left w:val="nil"/>
              <w:bottom w:val="nil"/>
              <w:right w:val="nil"/>
            </w:tcBorders>
          </w:tcPr>
          <w:p w14:paraId="70ECAB1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426C443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single" w:sz="6" w:space="0" w:color="auto"/>
              <w:left w:val="nil"/>
              <w:bottom w:val="double" w:sz="6" w:space="0" w:color="auto"/>
              <w:right w:val="nil"/>
            </w:tcBorders>
          </w:tcPr>
          <w:p w14:paraId="4E82722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14,147,092</w:t>
            </w:r>
          </w:p>
        </w:tc>
        <w:tc>
          <w:tcPr>
            <w:tcW w:w="362" w:type="dxa"/>
            <w:tcBorders>
              <w:top w:val="nil"/>
              <w:left w:val="nil"/>
              <w:bottom w:val="nil"/>
              <w:right w:val="nil"/>
            </w:tcBorders>
          </w:tcPr>
          <w:p w14:paraId="7D6269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single" w:sz="6" w:space="0" w:color="auto"/>
              <w:left w:val="nil"/>
              <w:bottom w:val="double" w:sz="6" w:space="0" w:color="auto"/>
              <w:right w:val="nil"/>
            </w:tcBorders>
          </w:tcPr>
          <w:p w14:paraId="4383E40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17,988,999</w:t>
            </w:r>
          </w:p>
        </w:tc>
      </w:tr>
      <w:tr w:rsidR="000251CF" w:rsidRPr="000251CF" w14:paraId="7A70EB1C" w14:textId="77777777" w:rsidTr="0088213C">
        <w:trPr>
          <w:trHeight w:val="247"/>
        </w:trPr>
        <w:tc>
          <w:tcPr>
            <w:tcW w:w="331" w:type="dxa"/>
            <w:tcBorders>
              <w:top w:val="nil"/>
              <w:left w:val="nil"/>
              <w:bottom w:val="nil"/>
              <w:right w:val="nil"/>
            </w:tcBorders>
          </w:tcPr>
          <w:p w14:paraId="7F5BBA2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7D027C9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637336E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60EFC3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17EF775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58C233D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2D4CE81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6DBBD81E" w14:textId="77777777" w:rsidTr="0088213C">
        <w:trPr>
          <w:trHeight w:val="233"/>
        </w:trPr>
        <w:tc>
          <w:tcPr>
            <w:tcW w:w="1" w:type="dxa"/>
            <w:gridSpan w:val="2"/>
            <w:tcBorders>
              <w:top w:val="nil"/>
              <w:left w:val="nil"/>
              <w:bottom w:val="nil"/>
              <w:right w:val="nil"/>
            </w:tcBorders>
          </w:tcPr>
          <w:p w14:paraId="58F87DD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Current Liabilities</w:t>
            </w:r>
          </w:p>
        </w:tc>
        <w:tc>
          <w:tcPr>
            <w:tcW w:w="631" w:type="dxa"/>
            <w:tcBorders>
              <w:top w:val="nil"/>
              <w:left w:val="nil"/>
              <w:bottom w:val="nil"/>
              <w:right w:val="nil"/>
            </w:tcBorders>
          </w:tcPr>
          <w:p w14:paraId="4FFFA37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1D2E5B8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167A215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665DAB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327C830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43EBD67A" w14:textId="77777777" w:rsidTr="0088213C">
        <w:trPr>
          <w:trHeight w:val="233"/>
        </w:trPr>
        <w:tc>
          <w:tcPr>
            <w:tcW w:w="331" w:type="dxa"/>
            <w:tcBorders>
              <w:top w:val="nil"/>
              <w:left w:val="nil"/>
              <w:bottom w:val="nil"/>
              <w:right w:val="nil"/>
            </w:tcBorders>
          </w:tcPr>
          <w:p w14:paraId="5A5EEDA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06D0427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Lease Liabilities</w:t>
            </w:r>
          </w:p>
        </w:tc>
        <w:tc>
          <w:tcPr>
            <w:tcW w:w="631" w:type="dxa"/>
            <w:tcBorders>
              <w:top w:val="nil"/>
              <w:left w:val="nil"/>
              <w:bottom w:val="nil"/>
              <w:right w:val="nil"/>
            </w:tcBorders>
          </w:tcPr>
          <w:p w14:paraId="7E9383E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14</w:t>
            </w:r>
          </w:p>
        </w:tc>
        <w:tc>
          <w:tcPr>
            <w:tcW w:w="362" w:type="dxa"/>
            <w:tcBorders>
              <w:top w:val="nil"/>
              <w:left w:val="nil"/>
              <w:bottom w:val="nil"/>
              <w:right w:val="nil"/>
            </w:tcBorders>
          </w:tcPr>
          <w:p w14:paraId="7C394F7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3DA9D0B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2,339,190</w:t>
            </w:r>
          </w:p>
        </w:tc>
        <w:tc>
          <w:tcPr>
            <w:tcW w:w="362" w:type="dxa"/>
            <w:tcBorders>
              <w:top w:val="nil"/>
              <w:left w:val="nil"/>
              <w:bottom w:val="nil"/>
              <w:right w:val="nil"/>
            </w:tcBorders>
          </w:tcPr>
          <w:p w14:paraId="36B8992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62D942F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2,197,690</w:t>
            </w:r>
          </w:p>
        </w:tc>
      </w:tr>
      <w:tr w:rsidR="000251CF" w:rsidRPr="000251CF" w14:paraId="3033A3A9" w14:textId="77777777" w:rsidTr="0088213C">
        <w:trPr>
          <w:trHeight w:val="233"/>
        </w:trPr>
        <w:tc>
          <w:tcPr>
            <w:tcW w:w="331" w:type="dxa"/>
            <w:tcBorders>
              <w:top w:val="nil"/>
              <w:left w:val="nil"/>
              <w:bottom w:val="nil"/>
              <w:right w:val="nil"/>
            </w:tcBorders>
          </w:tcPr>
          <w:p w14:paraId="498FD5B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2E07C88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Payables</w:t>
            </w:r>
          </w:p>
        </w:tc>
        <w:tc>
          <w:tcPr>
            <w:tcW w:w="631" w:type="dxa"/>
            <w:tcBorders>
              <w:top w:val="nil"/>
              <w:left w:val="nil"/>
              <w:bottom w:val="nil"/>
              <w:right w:val="nil"/>
            </w:tcBorders>
          </w:tcPr>
          <w:p w14:paraId="7BA5534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15</w:t>
            </w:r>
          </w:p>
        </w:tc>
        <w:tc>
          <w:tcPr>
            <w:tcW w:w="362" w:type="dxa"/>
            <w:tcBorders>
              <w:top w:val="nil"/>
              <w:left w:val="nil"/>
              <w:bottom w:val="nil"/>
              <w:right w:val="nil"/>
            </w:tcBorders>
          </w:tcPr>
          <w:p w14:paraId="1078183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6A45DE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916,409</w:t>
            </w:r>
          </w:p>
        </w:tc>
        <w:tc>
          <w:tcPr>
            <w:tcW w:w="362" w:type="dxa"/>
            <w:tcBorders>
              <w:top w:val="nil"/>
              <w:left w:val="nil"/>
              <w:bottom w:val="nil"/>
              <w:right w:val="nil"/>
            </w:tcBorders>
          </w:tcPr>
          <w:p w14:paraId="158722D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7C5050A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1,671,853</w:t>
            </w:r>
          </w:p>
        </w:tc>
      </w:tr>
      <w:tr w:rsidR="000251CF" w:rsidRPr="000251CF" w14:paraId="35F956B6" w14:textId="77777777" w:rsidTr="0088213C">
        <w:trPr>
          <w:trHeight w:val="233"/>
        </w:trPr>
        <w:tc>
          <w:tcPr>
            <w:tcW w:w="331" w:type="dxa"/>
            <w:tcBorders>
              <w:top w:val="nil"/>
              <w:left w:val="nil"/>
              <w:bottom w:val="nil"/>
              <w:right w:val="nil"/>
            </w:tcBorders>
          </w:tcPr>
          <w:p w14:paraId="481A67D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380E1D43"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Accrued Employee Benefits</w:t>
            </w:r>
          </w:p>
        </w:tc>
        <w:tc>
          <w:tcPr>
            <w:tcW w:w="631" w:type="dxa"/>
            <w:tcBorders>
              <w:top w:val="nil"/>
              <w:left w:val="nil"/>
              <w:bottom w:val="nil"/>
              <w:right w:val="nil"/>
            </w:tcBorders>
          </w:tcPr>
          <w:p w14:paraId="108566B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16</w:t>
            </w:r>
          </w:p>
        </w:tc>
        <w:tc>
          <w:tcPr>
            <w:tcW w:w="362" w:type="dxa"/>
            <w:tcBorders>
              <w:top w:val="nil"/>
              <w:left w:val="nil"/>
              <w:bottom w:val="nil"/>
              <w:right w:val="nil"/>
            </w:tcBorders>
          </w:tcPr>
          <w:p w14:paraId="68C31A8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1FDCA96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739,908</w:t>
            </w:r>
          </w:p>
        </w:tc>
        <w:tc>
          <w:tcPr>
            <w:tcW w:w="362" w:type="dxa"/>
            <w:tcBorders>
              <w:top w:val="nil"/>
              <w:left w:val="nil"/>
              <w:bottom w:val="nil"/>
              <w:right w:val="nil"/>
            </w:tcBorders>
          </w:tcPr>
          <w:p w14:paraId="6F5B5C0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1EE7998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687,851</w:t>
            </w:r>
          </w:p>
        </w:tc>
      </w:tr>
      <w:tr w:rsidR="000251CF" w:rsidRPr="000251CF" w14:paraId="7FE0124C" w14:textId="77777777" w:rsidTr="0088213C">
        <w:trPr>
          <w:trHeight w:val="233"/>
        </w:trPr>
        <w:tc>
          <w:tcPr>
            <w:tcW w:w="1" w:type="dxa"/>
            <w:gridSpan w:val="2"/>
            <w:tcBorders>
              <w:top w:val="nil"/>
              <w:left w:val="nil"/>
              <w:bottom w:val="nil"/>
              <w:right w:val="nil"/>
            </w:tcBorders>
          </w:tcPr>
          <w:p w14:paraId="39806453"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Current Liabilities</w:t>
            </w:r>
          </w:p>
        </w:tc>
        <w:tc>
          <w:tcPr>
            <w:tcW w:w="631" w:type="dxa"/>
            <w:tcBorders>
              <w:top w:val="nil"/>
              <w:left w:val="nil"/>
              <w:bottom w:val="nil"/>
              <w:right w:val="nil"/>
            </w:tcBorders>
          </w:tcPr>
          <w:p w14:paraId="0D95A6B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41285BF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nil"/>
              <w:left w:val="nil"/>
              <w:bottom w:val="nil"/>
              <w:right w:val="nil"/>
            </w:tcBorders>
          </w:tcPr>
          <w:p w14:paraId="445C1A9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3,995,507</w:t>
            </w:r>
          </w:p>
        </w:tc>
        <w:tc>
          <w:tcPr>
            <w:tcW w:w="362" w:type="dxa"/>
            <w:tcBorders>
              <w:top w:val="nil"/>
              <w:left w:val="nil"/>
              <w:bottom w:val="nil"/>
              <w:right w:val="nil"/>
            </w:tcBorders>
          </w:tcPr>
          <w:p w14:paraId="1C76191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nil"/>
              <w:left w:val="nil"/>
              <w:bottom w:val="nil"/>
              <w:right w:val="nil"/>
            </w:tcBorders>
          </w:tcPr>
          <w:p w14:paraId="79AD13D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4,557,394</w:t>
            </w:r>
          </w:p>
        </w:tc>
      </w:tr>
      <w:tr w:rsidR="000251CF" w:rsidRPr="000251CF" w14:paraId="4146499E" w14:textId="77777777" w:rsidTr="0088213C">
        <w:trPr>
          <w:trHeight w:val="233"/>
        </w:trPr>
        <w:tc>
          <w:tcPr>
            <w:tcW w:w="331" w:type="dxa"/>
            <w:tcBorders>
              <w:top w:val="nil"/>
              <w:left w:val="nil"/>
              <w:bottom w:val="nil"/>
              <w:right w:val="nil"/>
            </w:tcBorders>
          </w:tcPr>
          <w:p w14:paraId="522AE81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5317A02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4C67455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0DCFB2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289B85A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7163D90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1E8A78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6EF60204" w14:textId="77777777" w:rsidTr="0088213C">
        <w:trPr>
          <w:trHeight w:val="233"/>
        </w:trPr>
        <w:tc>
          <w:tcPr>
            <w:tcW w:w="1" w:type="dxa"/>
            <w:gridSpan w:val="2"/>
            <w:tcBorders>
              <w:top w:val="nil"/>
              <w:left w:val="nil"/>
              <w:bottom w:val="nil"/>
              <w:right w:val="nil"/>
            </w:tcBorders>
          </w:tcPr>
          <w:p w14:paraId="4083084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roofErr w:type="spellStart"/>
            <w:proofErr w:type="gramStart"/>
            <w:r w:rsidRPr="000251CF">
              <w:rPr>
                <w:rFonts w:ascii="Tahoma" w:eastAsia="Times New Roman" w:hAnsi="Tahoma" w:cs="Tahoma"/>
                <w:b/>
                <w:bCs/>
                <w:color w:val="000000"/>
                <w:sz w:val="16"/>
                <w:szCs w:val="16"/>
              </w:rPr>
              <w:t>Non Current</w:t>
            </w:r>
            <w:proofErr w:type="spellEnd"/>
            <w:proofErr w:type="gramEnd"/>
            <w:r w:rsidRPr="000251CF">
              <w:rPr>
                <w:rFonts w:ascii="Tahoma" w:eastAsia="Times New Roman" w:hAnsi="Tahoma" w:cs="Tahoma"/>
                <w:b/>
                <w:bCs/>
                <w:color w:val="000000"/>
                <w:sz w:val="16"/>
                <w:szCs w:val="16"/>
              </w:rPr>
              <w:t xml:space="preserve"> Liabilities</w:t>
            </w:r>
          </w:p>
        </w:tc>
        <w:tc>
          <w:tcPr>
            <w:tcW w:w="631" w:type="dxa"/>
            <w:tcBorders>
              <w:top w:val="nil"/>
              <w:left w:val="nil"/>
              <w:bottom w:val="nil"/>
              <w:right w:val="nil"/>
            </w:tcBorders>
          </w:tcPr>
          <w:p w14:paraId="7DE0F8A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AB1459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3DC6860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041140F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24F53B7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6E1E53C" w14:textId="77777777" w:rsidTr="0088213C">
        <w:trPr>
          <w:trHeight w:val="233"/>
        </w:trPr>
        <w:tc>
          <w:tcPr>
            <w:tcW w:w="331" w:type="dxa"/>
            <w:tcBorders>
              <w:top w:val="nil"/>
              <w:left w:val="nil"/>
              <w:bottom w:val="nil"/>
              <w:right w:val="nil"/>
            </w:tcBorders>
          </w:tcPr>
          <w:p w14:paraId="6EB834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2BC25B9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Lease Liabilities</w:t>
            </w:r>
          </w:p>
        </w:tc>
        <w:tc>
          <w:tcPr>
            <w:tcW w:w="631" w:type="dxa"/>
            <w:tcBorders>
              <w:top w:val="nil"/>
              <w:left w:val="nil"/>
              <w:bottom w:val="nil"/>
              <w:right w:val="nil"/>
            </w:tcBorders>
          </w:tcPr>
          <w:p w14:paraId="5A40113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14</w:t>
            </w:r>
          </w:p>
        </w:tc>
        <w:tc>
          <w:tcPr>
            <w:tcW w:w="362" w:type="dxa"/>
            <w:tcBorders>
              <w:top w:val="nil"/>
              <w:left w:val="nil"/>
              <w:bottom w:val="nil"/>
              <w:right w:val="nil"/>
            </w:tcBorders>
          </w:tcPr>
          <w:p w14:paraId="66E1134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63ADF37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1,005,576</w:t>
            </w:r>
          </w:p>
        </w:tc>
        <w:tc>
          <w:tcPr>
            <w:tcW w:w="362" w:type="dxa"/>
            <w:tcBorders>
              <w:top w:val="nil"/>
              <w:left w:val="nil"/>
              <w:bottom w:val="nil"/>
              <w:right w:val="nil"/>
            </w:tcBorders>
          </w:tcPr>
          <w:p w14:paraId="2361360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63628DA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3,344,766</w:t>
            </w:r>
          </w:p>
        </w:tc>
      </w:tr>
      <w:tr w:rsidR="000251CF" w:rsidRPr="000251CF" w14:paraId="5E00337A" w14:textId="77777777" w:rsidTr="0088213C">
        <w:trPr>
          <w:trHeight w:val="233"/>
        </w:trPr>
        <w:tc>
          <w:tcPr>
            <w:tcW w:w="331" w:type="dxa"/>
            <w:tcBorders>
              <w:top w:val="nil"/>
              <w:left w:val="nil"/>
              <w:bottom w:val="nil"/>
              <w:right w:val="nil"/>
            </w:tcBorders>
          </w:tcPr>
          <w:p w14:paraId="3324224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0C433AA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Accrued Employee Benefits</w:t>
            </w:r>
          </w:p>
        </w:tc>
        <w:tc>
          <w:tcPr>
            <w:tcW w:w="631" w:type="dxa"/>
            <w:tcBorders>
              <w:top w:val="nil"/>
              <w:left w:val="nil"/>
              <w:bottom w:val="nil"/>
              <w:right w:val="nil"/>
            </w:tcBorders>
          </w:tcPr>
          <w:p w14:paraId="0A2E227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16</w:t>
            </w:r>
          </w:p>
        </w:tc>
        <w:tc>
          <w:tcPr>
            <w:tcW w:w="362" w:type="dxa"/>
            <w:tcBorders>
              <w:top w:val="nil"/>
              <w:left w:val="nil"/>
              <w:bottom w:val="nil"/>
              <w:right w:val="nil"/>
            </w:tcBorders>
          </w:tcPr>
          <w:p w14:paraId="26ECE42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68F8A8F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155,854</w:t>
            </w:r>
          </w:p>
        </w:tc>
        <w:tc>
          <w:tcPr>
            <w:tcW w:w="362" w:type="dxa"/>
            <w:tcBorders>
              <w:top w:val="nil"/>
              <w:left w:val="nil"/>
              <w:bottom w:val="nil"/>
              <w:right w:val="nil"/>
            </w:tcBorders>
          </w:tcPr>
          <w:p w14:paraId="267709E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3FC404F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153,151</w:t>
            </w:r>
          </w:p>
        </w:tc>
      </w:tr>
      <w:tr w:rsidR="000251CF" w:rsidRPr="000251CF" w14:paraId="0AAB7F8B" w14:textId="77777777" w:rsidTr="0088213C">
        <w:trPr>
          <w:trHeight w:val="233"/>
        </w:trPr>
        <w:tc>
          <w:tcPr>
            <w:tcW w:w="1" w:type="dxa"/>
            <w:gridSpan w:val="2"/>
            <w:tcBorders>
              <w:top w:val="nil"/>
              <w:left w:val="nil"/>
              <w:bottom w:val="nil"/>
              <w:right w:val="nil"/>
            </w:tcBorders>
          </w:tcPr>
          <w:p w14:paraId="48C3B9CB"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Total </w:t>
            </w:r>
            <w:proofErr w:type="spellStart"/>
            <w:proofErr w:type="gramStart"/>
            <w:r w:rsidRPr="000251CF">
              <w:rPr>
                <w:rFonts w:ascii="Tahoma" w:eastAsia="Times New Roman" w:hAnsi="Tahoma" w:cs="Tahoma"/>
                <w:b/>
                <w:bCs/>
                <w:color w:val="000000"/>
                <w:sz w:val="16"/>
                <w:szCs w:val="16"/>
              </w:rPr>
              <w:t>Non Current</w:t>
            </w:r>
            <w:proofErr w:type="spellEnd"/>
            <w:proofErr w:type="gramEnd"/>
            <w:r w:rsidRPr="000251CF">
              <w:rPr>
                <w:rFonts w:ascii="Tahoma" w:eastAsia="Times New Roman" w:hAnsi="Tahoma" w:cs="Tahoma"/>
                <w:b/>
                <w:bCs/>
                <w:color w:val="000000"/>
                <w:sz w:val="16"/>
                <w:szCs w:val="16"/>
              </w:rPr>
              <w:t xml:space="preserve"> Liabilities</w:t>
            </w:r>
          </w:p>
        </w:tc>
        <w:tc>
          <w:tcPr>
            <w:tcW w:w="631" w:type="dxa"/>
            <w:tcBorders>
              <w:top w:val="nil"/>
              <w:left w:val="nil"/>
              <w:bottom w:val="nil"/>
              <w:right w:val="nil"/>
            </w:tcBorders>
          </w:tcPr>
          <w:p w14:paraId="17BB7ED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0EFE76C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nil"/>
              <w:left w:val="nil"/>
              <w:bottom w:val="nil"/>
              <w:right w:val="nil"/>
            </w:tcBorders>
          </w:tcPr>
          <w:p w14:paraId="53201E6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1,161,430</w:t>
            </w:r>
          </w:p>
        </w:tc>
        <w:tc>
          <w:tcPr>
            <w:tcW w:w="362" w:type="dxa"/>
            <w:tcBorders>
              <w:top w:val="nil"/>
              <w:left w:val="nil"/>
              <w:bottom w:val="nil"/>
              <w:right w:val="nil"/>
            </w:tcBorders>
          </w:tcPr>
          <w:p w14:paraId="123BAC1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nil"/>
              <w:left w:val="nil"/>
              <w:bottom w:val="nil"/>
              <w:right w:val="nil"/>
            </w:tcBorders>
          </w:tcPr>
          <w:p w14:paraId="1645B13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3,497,917</w:t>
            </w:r>
          </w:p>
        </w:tc>
      </w:tr>
      <w:tr w:rsidR="000251CF" w:rsidRPr="000251CF" w14:paraId="2684D20C" w14:textId="77777777" w:rsidTr="0088213C">
        <w:trPr>
          <w:trHeight w:val="233"/>
        </w:trPr>
        <w:tc>
          <w:tcPr>
            <w:tcW w:w="331" w:type="dxa"/>
            <w:tcBorders>
              <w:top w:val="nil"/>
              <w:left w:val="nil"/>
              <w:bottom w:val="nil"/>
              <w:right w:val="nil"/>
            </w:tcBorders>
          </w:tcPr>
          <w:p w14:paraId="7048A9B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2EA3065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3F36975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2C57A6E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39AA2F9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50F0F8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47731F4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8A0CD19" w14:textId="77777777" w:rsidTr="0088213C">
        <w:trPr>
          <w:trHeight w:val="247"/>
        </w:trPr>
        <w:tc>
          <w:tcPr>
            <w:tcW w:w="1" w:type="dxa"/>
            <w:gridSpan w:val="2"/>
            <w:tcBorders>
              <w:top w:val="nil"/>
              <w:left w:val="nil"/>
              <w:bottom w:val="nil"/>
              <w:right w:val="nil"/>
            </w:tcBorders>
          </w:tcPr>
          <w:p w14:paraId="507AE09D"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Liabilities</w:t>
            </w:r>
          </w:p>
        </w:tc>
        <w:tc>
          <w:tcPr>
            <w:tcW w:w="631" w:type="dxa"/>
            <w:tcBorders>
              <w:top w:val="nil"/>
              <w:left w:val="nil"/>
              <w:bottom w:val="nil"/>
              <w:right w:val="nil"/>
            </w:tcBorders>
          </w:tcPr>
          <w:p w14:paraId="1507C11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6587C2A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single" w:sz="6" w:space="0" w:color="auto"/>
              <w:left w:val="nil"/>
              <w:bottom w:val="double" w:sz="6" w:space="0" w:color="auto"/>
              <w:right w:val="nil"/>
            </w:tcBorders>
          </w:tcPr>
          <w:p w14:paraId="24439A6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5,156,937</w:t>
            </w:r>
          </w:p>
        </w:tc>
        <w:tc>
          <w:tcPr>
            <w:tcW w:w="362" w:type="dxa"/>
            <w:tcBorders>
              <w:top w:val="nil"/>
              <w:left w:val="nil"/>
              <w:bottom w:val="nil"/>
              <w:right w:val="nil"/>
            </w:tcBorders>
          </w:tcPr>
          <w:p w14:paraId="5087F09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single" w:sz="6" w:space="0" w:color="auto"/>
              <w:left w:val="nil"/>
              <w:bottom w:val="double" w:sz="6" w:space="0" w:color="auto"/>
              <w:right w:val="nil"/>
            </w:tcBorders>
          </w:tcPr>
          <w:p w14:paraId="0A256BA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8,055,311</w:t>
            </w:r>
          </w:p>
        </w:tc>
      </w:tr>
      <w:tr w:rsidR="000251CF" w:rsidRPr="000251CF" w14:paraId="2FF281A4" w14:textId="77777777" w:rsidTr="0088213C">
        <w:trPr>
          <w:trHeight w:val="247"/>
        </w:trPr>
        <w:tc>
          <w:tcPr>
            <w:tcW w:w="331" w:type="dxa"/>
            <w:tcBorders>
              <w:top w:val="nil"/>
              <w:left w:val="nil"/>
              <w:bottom w:val="nil"/>
              <w:right w:val="nil"/>
            </w:tcBorders>
          </w:tcPr>
          <w:p w14:paraId="2BE91E9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2947268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299EC2B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A9FE77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738011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133507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7474627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0F10B332" w14:textId="77777777" w:rsidTr="0088213C">
        <w:trPr>
          <w:trHeight w:val="233"/>
        </w:trPr>
        <w:tc>
          <w:tcPr>
            <w:tcW w:w="331" w:type="dxa"/>
            <w:tcBorders>
              <w:top w:val="nil"/>
              <w:left w:val="nil"/>
              <w:bottom w:val="nil"/>
              <w:right w:val="nil"/>
            </w:tcBorders>
          </w:tcPr>
          <w:p w14:paraId="056447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7320413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377215D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2EBC007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7D6AB3A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017A6F5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510D876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61432206" w14:textId="77777777" w:rsidTr="0088213C">
        <w:trPr>
          <w:trHeight w:val="247"/>
        </w:trPr>
        <w:tc>
          <w:tcPr>
            <w:tcW w:w="1" w:type="dxa"/>
            <w:gridSpan w:val="2"/>
            <w:tcBorders>
              <w:top w:val="nil"/>
              <w:left w:val="nil"/>
              <w:bottom w:val="nil"/>
              <w:right w:val="nil"/>
            </w:tcBorders>
          </w:tcPr>
          <w:p w14:paraId="0EB74143"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Net Assets</w:t>
            </w:r>
          </w:p>
        </w:tc>
        <w:tc>
          <w:tcPr>
            <w:tcW w:w="631" w:type="dxa"/>
            <w:tcBorders>
              <w:top w:val="nil"/>
              <w:left w:val="nil"/>
              <w:bottom w:val="nil"/>
              <w:right w:val="nil"/>
            </w:tcBorders>
          </w:tcPr>
          <w:p w14:paraId="274F4E6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287EAB1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single" w:sz="6" w:space="0" w:color="auto"/>
              <w:left w:val="nil"/>
              <w:bottom w:val="double" w:sz="6" w:space="0" w:color="auto"/>
              <w:right w:val="nil"/>
            </w:tcBorders>
          </w:tcPr>
          <w:p w14:paraId="1E757E2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8,990,155</w:t>
            </w:r>
          </w:p>
        </w:tc>
        <w:tc>
          <w:tcPr>
            <w:tcW w:w="362" w:type="dxa"/>
            <w:tcBorders>
              <w:top w:val="nil"/>
              <w:left w:val="nil"/>
              <w:bottom w:val="nil"/>
              <w:right w:val="nil"/>
            </w:tcBorders>
          </w:tcPr>
          <w:p w14:paraId="1C74480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single" w:sz="6" w:space="0" w:color="auto"/>
              <w:left w:val="nil"/>
              <w:bottom w:val="double" w:sz="6" w:space="0" w:color="auto"/>
              <w:right w:val="nil"/>
            </w:tcBorders>
          </w:tcPr>
          <w:p w14:paraId="33FBE31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9,933,688</w:t>
            </w:r>
          </w:p>
        </w:tc>
      </w:tr>
      <w:tr w:rsidR="000251CF" w:rsidRPr="000251CF" w14:paraId="7C2DDFBD" w14:textId="77777777" w:rsidTr="0088213C">
        <w:trPr>
          <w:trHeight w:val="247"/>
        </w:trPr>
        <w:tc>
          <w:tcPr>
            <w:tcW w:w="331" w:type="dxa"/>
            <w:tcBorders>
              <w:top w:val="nil"/>
              <w:left w:val="nil"/>
              <w:bottom w:val="nil"/>
              <w:right w:val="nil"/>
            </w:tcBorders>
          </w:tcPr>
          <w:p w14:paraId="677D1D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45CEFE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30FF376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9FE2DC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3730368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4FA92BE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2805A8E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36D4709B" w14:textId="77777777" w:rsidTr="0088213C">
        <w:trPr>
          <w:trHeight w:val="233"/>
        </w:trPr>
        <w:tc>
          <w:tcPr>
            <w:tcW w:w="331" w:type="dxa"/>
            <w:tcBorders>
              <w:top w:val="nil"/>
              <w:left w:val="nil"/>
              <w:bottom w:val="nil"/>
              <w:right w:val="nil"/>
            </w:tcBorders>
          </w:tcPr>
          <w:p w14:paraId="06ED41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56F5F43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1" w:type="dxa"/>
            <w:tcBorders>
              <w:top w:val="nil"/>
              <w:left w:val="nil"/>
              <w:bottom w:val="nil"/>
              <w:right w:val="nil"/>
            </w:tcBorders>
          </w:tcPr>
          <w:p w14:paraId="34A67E0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723CC3A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202ACEF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25527F6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68EF13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99731F8" w14:textId="77777777" w:rsidTr="0088213C">
        <w:trPr>
          <w:trHeight w:val="233"/>
        </w:trPr>
        <w:tc>
          <w:tcPr>
            <w:tcW w:w="1" w:type="dxa"/>
            <w:gridSpan w:val="2"/>
            <w:tcBorders>
              <w:top w:val="nil"/>
              <w:left w:val="nil"/>
              <w:bottom w:val="nil"/>
              <w:right w:val="nil"/>
            </w:tcBorders>
          </w:tcPr>
          <w:p w14:paraId="0EF0C05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Equity</w:t>
            </w:r>
          </w:p>
        </w:tc>
        <w:tc>
          <w:tcPr>
            <w:tcW w:w="631" w:type="dxa"/>
            <w:tcBorders>
              <w:top w:val="nil"/>
              <w:left w:val="nil"/>
              <w:bottom w:val="nil"/>
              <w:right w:val="nil"/>
            </w:tcBorders>
          </w:tcPr>
          <w:p w14:paraId="450F1E1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7001844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053CC60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0784D3F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0DC4FFD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22F0AA04" w14:textId="77777777" w:rsidTr="0088213C">
        <w:trPr>
          <w:trHeight w:val="233"/>
        </w:trPr>
        <w:tc>
          <w:tcPr>
            <w:tcW w:w="331" w:type="dxa"/>
            <w:tcBorders>
              <w:top w:val="nil"/>
              <w:left w:val="nil"/>
              <w:bottom w:val="nil"/>
              <w:right w:val="nil"/>
            </w:tcBorders>
          </w:tcPr>
          <w:p w14:paraId="1864DBA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606" w:type="dxa"/>
            <w:tcBorders>
              <w:top w:val="nil"/>
              <w:left w:val="nil"/>
              <w:bottom w:val="nil"/>
              <w:right w:val="nil"/>
            </w:tcBorders>
          </w:tcPr>
          <w:p w14:paraId="704B400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Accumulated Surplus</w:t>
            </w:r>
          </w:p>
        </w:tc>
        <w:tc>
          <w:tcPr>
            <w:tcW w:w="631" w:type="dxa"/>
            <w:tcBorders>
              <w:top w:val="nil"/>
              <w:left w:val="nil"/>
              <w:bottom w:val="nil"/>
              <w:right w:val="nil"/>
            </w:tcBorders>
          </w:tcPr>
          <w:p w14:paraId="11E331E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3FDD54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342" w:type="dxa"/>
            <w:tcBorders>
              <w:top w:val="nil"/>
              <w:left w:val="nil"/>
              <w:bottom w:val="nil"/>
              <w:right w:val="nil"/>
            </w:tcBorders>
          </w:tcPr>
          <w:p w14:paraId="4BEB589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8,990,155</w:t>
            </w:r>
          </w:p>
        </w:tc>
        <w:tc>
          <w:tcPr>
            <w:tcW w:w="362" w:type="dxa"/>
            <w:tcBorders>
              <w:top w:val="nil"/>
              <w:left w:val="nil"/>
              <w:bottom w:val="nil"/>
              <w:right w:val="nil"/>
            </w:tcBorders>
          </w:tcPr>
          <w:p w14:paraId="1EB245E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467" w:type="dxa"/>
            <w:tcBorders>
              <w:top w:val="nil"/>
              <w:left w:val="nil"/>
              <w:bottom w:val="nil"/>
              <w:right w:val="nil"/>
            </w:tcBorders>
          </w:tcPr>
          <w:p w14:paraId="382FF5A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9,933,688</w:t>
            </w:r>
          </w:p>
        </w:tc>
      </w:tr>
      <w:tr w:rsidR="000251CF" w:rsidRPr="000251CF" w14:paraId="7110615E" w14:textId="77777777" w:rsidTr="0088213C">
        <w:trPr>
          <w:trHeight w:val="247"/>
        </w:trPr>
        <w:tc>
          <w:tcPr>
            <w:tcW w:w="1" w:type="dxa"/>
            <w:gridSpan w:val="2"/>
            <w:tcBorders>
              <w:top w:val="nil"/>
              <w:left w:val="nil"/>
              <w:bottom w:val="nil"/>
              <w:right w:val="nil"/>
            </w:tcBorders>
          </w:tcPr>
          <w:p w14:paraId="05B72FD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Equity</w:t>
            </w:r>
          </w:p>
        </w:tc>
        <w:tc>
          <w:tcPr>
            <w:tcW w:w="631" w:type="dxa"/>
            <w:tcBorders>
              <w:top w:val="nil"/>
              <w:left w:val="nil"/>
              <w:bottom w:val="nil"/>
              <w:right w:val="nil"/>
            </w:tcBorders>
          </w:tcPr>
          <w:p w14:paraId="5FB2795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5CE691B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42" w:type="dxa"/>
            <w:tcBorders>
              <w:top w:val="single" w:sz="6" w:space="0" w:color="auto"/>
              <w:left w:val="nil"/>
              <w:bottom w:val="double" w:sz="6" w:space="0" w:color="auto"/>
              <w:right w:val="nil"/>
            </w:tcBorders>
          </w:tcPr>
          <w:p w14:paraId="1471FF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8,990,155</w:t>
            </w:r>
          </w:p>
        </w:tc>
        <w:tc>
          <w:tcPr>
            <w:tcW w:w="362" w:type="dxa"/>
            <w:tcBorders>
              <w:top w:val="nil"/>
              <w:left w:val="nil"/>
              <w:bottom w:val="nil"/>
              <w:right w:val="nil"/>
            </w:tcBorders>
          </w:tcPr>
          <w:p w14:paraId="745A93F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67" w:type="dxa"/>
            <w:tcBorders>
              <w:top w:val="single" w:sz="6" w:space="0" w:color="auto"/>
              <w:left w:val="nil"/>
              <w:bottom w:val="double" w:sz="6" w:space="0" w:color="auto"/>
              <w:right w:val="nil"/>
            </w:tcBorders>
          </w:tcPr>
          <w:p w14:paraId="51EC4B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9,933,688</w:t>
            </w:r>
          </w:p>
        </w:tc>
      </w:tr>
    </w:tbl>
    <w:p w14:paraId="374C44F4" w14:textId="77777777" w:rsidR="00EF65F4" w:rsidRDefault="00EF65F4" w:rsidP="00D1587D">
      <w:pPr>
        <w:rPr>
          <w:i/>
          <w:sz w:val="16"/>
          <w:szCs w:val="16"/>
        </w:rPr>
      </w:pPr>
    </w:p>
    <w:p w14:paraId="7F47C05D" w14:textId="77777777" w:rsidR="004D567C" w:rsidRPr="00B5346A" w:rsidRDefault="004D567C" w:rsidP="00D1587D">
      <w:pPr>
        <w:rPr>
          <w:i/>
          <w:sz w:val="16"/>
          <w:szCs w:val="16"/>
        </w:rPr>
      </w:pPr>
    </w:p>
    <w:p w14:paraId="4C9C8E40" w14:textId="77777777" w:rsidR="00D1587D" w:rsidRPr="00B5346A" w:rsidRDefault="00D1587D" w:rsidP="00D1587D">
      <w:pPr>
        <w:tabs>
          <w:tab w:val="left" w:pos="1590"/>
        </w:tabs>
        <w:rPr>
          <w:rStyle w:val="QCAQualificationsBlack"/>
          <w:i/>
          <w:color w:val="595959" w:themeColor="text1" w:themeTint="A6"/>
          <w:sz w:val="14"/>
          <w:szCs w:val="14"/>
        </w:rPr>
      </w:pPr>
      <w:r w:rsidRPr="00B5346A">
        <w:rPr>
          <w:rStyle w:val="QCAQualificationsBlack"/>
          <w:i/>
          <w:color w:val="595959" w:themeColor="text1" w:themeTint="A6"/>
          <w:sz w:val="14"/>
          <w:szCs w:val="14"/>
        </w:rPr>
        <w:t>The accompanying notes form part of these financial statements</w:t>
      </w:r>
    </w:p>
    <w:p w14:paraId="2C054AE7" w14:textId="63640D55" w:rsidR="007B29E3" w:rsidRDefault="007B29E3" w:rsidP="00F32164">
      <w:pPr>
        <w:tabs>
          <w:tab w:val="left" w:pos="1590"/>
        </w:tabs>
        <w:ind w:left="7371"/>
        <w:rPr>
          <w:sz w:val="16"/>
          <w:szCs w:val="16"/>
          <w:highlight w:val="yellow"/>
        </w:rPr>
      </w:pPr>
    </w:p>
    <w:p w14:paraId="10606633" w14:textId="44999CD3" w:rsidR="00262651" w:rsidRPr="00F41A88" w:rsidRDefault="00262651" w:rsidP="00F32164">
      <w:pPr>
        <w:tabs>
          <w:tab w:val="left" w:pos="1590"/>
        </w:tabs>
        <w:ind w:left="7371"/>
        <w:rPr>
          <w:sz w:val="16"/>
          <w:szCs w:val="16"/>
          <w:highlight w:val="yellow"/>
        </w:rPr>
      </w:pPr>
    </w:p>
    <w:p w14:paraId="621751AA" w14:textId="04144BBD" w:rsidR="00DD461D" w:rsidRPr="008A5281" w:rsidRDefault="00C942DD" w:rsidP="00DD461D">
      <w:pPr>
        <w:pStyle w:val="Heading2"/>
      </w:pPr>
      <w:r w:rsidRPr="00C942DD">
        <w:rPr>
          <w:highlight w:val="yellow"/>
        </w:rPr>
        <w:br w:type="page"/>
      </w:r>
      <w:bookmarkStart w:id="221" w:name="_Toc487532147"/>
      <w:bookmarkStart w:id="222" w:name="_Toc487614524"/>
      <w:bookmarkStart w:id="223" w:name="_Toc520282166"/>
      <w:bookmarkStart w:id="224" w:name="_Toc80792969"/>
      <w:r w:rsidR="00A74B74" w:rsidRPr="004D2A0B">
        <w:lastRenderedPageBreak/>
        <w:t>Statement of changes in equity</w:t>
      </w:r>
      <w:bookmarkEnd w:id="221"/>
      <w:bookmarkEnd w:id="222"/>
      <w:bookmarkEnd w:id="223"/>
      <w:bookmarkEnd w:id="224"/>
    </w:p>
    <w:p w14:paraId="6D458DAC" w14:textId="60B1727C" w:rsidR="003D3BAE" w:rsidRDefault="003D3BAE" w:rsidP="003D3BAE">
      <w:pPr>
        <w:rPr>
          <w:i/>
          <w:sz w:val="16"/>
          <w:szCs w:val="16"/>
        </w:rPr>
      </w:pPr>
      <w:r w:rsidRPr="00E01007">
        <w:rPr>
          <w:i/>
          <w:sz w:val="16"/>
          <w:szCs w:val="16"/>
        </w:rPr>
        <w:t>for the year ended 30 June 20</w:t>
      </w:r>
      <w:r w:rsidR="005B4464">
        <w:rPr>
          <w:i/>
          <w:sz w:val="16"/>
          <w:szCs w:val="16"/>
        </w:rPr>
        <w:t>2</w:t>
      </w:r>
      <w:r w:rsidR="00F557CB">
        <w:rPr>
          <w:i/>
          <w:sz w:val="16"/>
          <w:szCs w:val="16"/>
        </w:rPr>
        <w:t>1</w:t>
      </w:r>
    </w:p>
    <w:p w14:paraId="0FDF8CEF" w14:textId="77777777" w:rsidR="00E84043" w:rsidRDefault="00E84043" w:rsidP="003D3BAE">
      <w:pPr>
        <w:rPr>
          <w:i/>
          <w:sz w:val="16"/>
          <w:szCs w:val="16"/>
        </w:rPr>
      </w:pPr>
    </w:p>
    <w:tbl>
      <w:tblPr>
        <w:tblW w:w="9103" w:type="dxa"/>
        <w:tblInd w:w="-30" w:type="dxa"/>
        <w:tblLayout w:type="fixed"/>
        <w:tblLook w:val="0000" w:firstRow="0" w:lastRow="0" w:firstColumn="0" w:lastColumn="0" w:noHBand="0" w:noVBand="0"/>
      </w:tblPr>
      <w:tblGrid>
        <w:gridCol w:w="3858"/>
        <w:gridCol w:w="1134"/>
        <w:gridCol w:w="284"/>
        <w:gridCol w:w="1085"/>
        <w:gridCol w:w="314"/>
        <w:gridCol w:w="1010"/>
        <w:gridCol w:w="314"/>
        <w:gridCol w:w="1104"/>
      </w:tblGrid>
      <w:tr w:rsidR="000251CF" w:rsidRPr="000251CF" w14:paraId="4E4EF79A" w14:textId="77777777" w:rsidTr="0088213C">
        <w:trPr>
          <w:trHeight w:val="202"/>
        </w:trPr>
        <w:tc>
          <w:tcPr>
            <w:tcW w:w="3858" w:type="dxa"/>
            <w:tcBorders>
              <w:top w:val="nil"/>
              <w:left w:val="nil"/>
              <w:bottom w:val="nil"/>
              <w:right w:val="nil"/>
            </w:tcBorders>
          </w:tcPr>
          <w:p w14:paraId="5286696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17" w:type="dxa"/>
            <w:gridSpan w:val="4"/>
            <w:tcBorders>
              <w:top w:val="nil"/>
              <w:left w:val="nil"/>
              <w:bottom w:val="nil"/>
              <w:right w:val="nil"/>
            </w:tcBorders>
            <w:shd w:val="solid" w:color="C0C0C0" w:fill="auto"/>
          </w:tcPr>
          <w:p w14:paraId="098709E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Accumulated Surplus</w:t>
            </w:r>
          </w:p>
        </w:tc>
        <w:tc>
          <w:tcPr>
            <w:tcW w:w="2428" w:type="dxa"/>
            <w:gridSpan w:val="3"/>
            <w:tcBorders>
              <w:top w:val="nil"/>
              <w:left w:val="nil"/>
              <w:bottom w:val="nil"/>
              <w:right w:val="nil"/>
            </w:tcBorders>
            <w:shd w:val="solid" w:color="C0C0C0" w:fill="auto"/>
          </w:tcPr>
          <w:p w14:paraId="1C92FF0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Contributed Equity</w:t>
            </w:r>
          </w:p>
        </w:tc>
      </w:tr>
      <w:tr w:rsidR="000251CF" w:rsidRPr="000251CF" w14:paraId="53F7AFC9" w14:textId="77777777" w:rsidTr="0088213C">
        <w:trPr>
          <w:trHeight w:val="202"/>
        </w:trPr>
        <w:tc>
          <w:tcPr>
            <w:tcW w:w="3858" w:type="dxa"/>
            <w:tcBorders>
              <w:top w:val="nil"/>
              <w:left w:val="nil"/>
              <w:bottom w:val="nil"/>
              <w:right w:val="nil"/>
            </w:tcBorders>
          </w:tcPr>
          <w:p w14:paraId="467DA80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134" w:type="dxa"/>
            <w:tcBorders>
              <w:top w:val="nil"/>
              <w:left w:val="nil"/>
              <w:bottom w:val="nil"/>
              <w:right w:val="nil"/>
            </w:tcBorders>
            <w:shd w:val="solid" w:color="C0C0C0" w:fill="auto"/>
          </w:tcPr>
          <w:p w14:paraId="5DA439F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284" w:type="dxa"/>
            <w:tcBorders>
              <w:top w:val="nil"/>
              <w:left w:val="nil"/>
              <w:bottom w:val="nil"/>
              <w:right w:val="nil"/>
            </w:tcBorders>
            <w:shd w:val="solid" w:color="C0C0C0" w:fill="auto"/>
          </w:tcPr>
          <w:p w14:paraId="005154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5" w:type="dxa"/>
            <w:tcBorders>
              <w:top w:val="nil"/>
              <w:left w:val="nil"/>
              <w:bottom w:val="nil"/>
              <w:right w:val="nil"/>
            </w:tcBorders>
            <w:shd w:val="solid" w:color="C0C0C0" w:fill="auto"/>
          </w:tcPr>
          <w:p w14:paraId="4B2E6D7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c>
          <w:tcPr>
            <w:tcW w:w="314" w:type="dxa"/>
            <w:tcBorders>
              <w:top w:val="nil"/>
              <w:left w:val="nil"/>
              <w:bottom w:val="nil"/>
              <w:right w:val="nil"/>
            </w:tcBorders>
            <w:shd w:val="solid" w:color="C0C0C0" w:fill="auto"/>
          </w:tcPr>
          <w:p w14:paraId="4F2B901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10" w:type="dxa"/>
            <w:tcBorders>
              <w:top w:val="nil"/>
              <w:left w:val="nil"/>
              <w:bottom w:val="nil"/>
              <w:right w:val="nil"/>
            </w:tcBorders>
            <w:shd w:val="solid" w:color="C0C0C0" w:fill="auto"/>
          </w:tcPr>
          <w:p w14:paraId="5544446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314" w:type="dxa"/>
            <w:tcBorders>
              <w:top w:val="nil"/>
              <w:left w:val="nil"/>
              <w:bottom w:val="nil"/>
              <w:right w:val="nil"/>
            </w:tcBorders>
            <w:shd w:val="solid" w:color="C0C0C0" w:fill="auto"/>
          </w:tcPr>
          <w:p w14:paraId="3701398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104" w:type="dxa"/>
            <w:tcBorders>
              <w:top w:val="nil"/>
              <w:left w:val="nil"/>
              <w:bottom w:val="nil"/>
              <w:right w:val="nil"/>
            </w:tcBorders>
            <w:shd w:val="solid" w:color="C0C0C0" w:fill="auto"/>
          </w:tcPr>
          <w:p w14:paraId="4507B6A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015796FA" w14:textId="77777777" w:rsidTr="0088213C">
        <w:trPr>
          <w:trHeight w:val="202"/>
        </w:trPr>
        <w:tc>
          <w:tcPr>
            <w:tcW w:w="3858" w:type="dxa"/>
            <w:tcBorders>
              <w:top w:val="nil"/>
              <w:left w:val="nil"/>
              <w:bottom w:val="nil"/>
              <w:right w:val="nil"/>
            </w:tcBorders>
          </w:tcPr>
          <w:p w14:paraId="601FA0E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34" w:type="dxa"/>
            <w:tcBorders>
              <w:top w:val="nil"/>
              <w:left w:val="nil"/>
              <w:bottom w:val="nil"/>
              <w:right w:val="nil"/>
            </w:tcBorders>
            <w:shd w:val="solid" w:color="C0C0C0" w:fill="auto"/>
          </w:tcPr>
          <w:p w14:paraId="386D044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284" w:type="dxa"/>
            <w:tcBorders>
              <w:top w:val="nil"/>
              <w:left w:val="nil"/>
              <w:bottom w:val="nil"/>
              <w:right w:val="nil"/>
            </w:tcBorders>
            <w:shd w:val="solid" w:color="C0C0C0" w:fill="auto"/>
          </w:tcPr>
          <w:p w14:paraId="494903E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5" w:type="dxa"/>
            <w:tcBorders>
              <w:top w:val="nil"/>
              <w:left w:val="nil"/>
              <w:bottom w:val="nil"/>
              <w:right w:val="nil"/>
            </w:tcBorders>
            <w:shd w:val="solid" w:color="C0C0C0" w:fill="auto"/>
          </w:tcPr>
          <w:p w14:paraId="1126DF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314" w:type="dxa"/>
            <w:tcBorders>
              <w:top w:val="nil"/>
              <w:left w:val="nil"/>
              <w:bottom w:val="nil"/>
              <w:right w:val="nil"/>
            </w:tcBorders>
            <w:shd w:val="solid" w:color="C0C0C0" w:fill="auto"/>
          </w:tcPr>
          <w:p w14:paraId="1B6767F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10" w:type="dxa"/>
            <w:tcBorders>
              <w:top w:val="nil"/>
              <w:left w:val="nil"/>
              <w:bottom w:val="nil"/>
              <w:right w:val="nil"/>
            </w:tcBorders>
            <w:shd w:val="solid" w:color="C0C0C0" w:fill="auto"/>
          </w:tcPr>
          <w:p w14:paraId="690D706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314" w:type="dxa"/>
            <w:tcBorders>
              <w:top w:val="nil"/>
              <w:left w:val="nil"/>
              <w:bottom w:val="nil"/>
              <w:right w:val="nil"/>
            </w:tcBorders>
            <w:shd w:val="solid" w:color="C0C0C0" w:fill="auto"/>
          </w:tcPr>
          <w:p w14:paraId="439D5C2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104" w:type="dxa"/>
            <w:tcBorders>
              <w:top w:val="nil"/>
              <w:left w:val="nil"/>
              <w:bottom w:val="nil"/>
              <w:right w:val="nil"/>
            </w:tcBorders>
            <w:shd w:val="solid" w:color="C0C0C0" w:fill="auto"/>
          </w:tcPr>
          <w:p w14:paraId="06E459D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551D7D49" w14:textId="77777777" w:rsidTr="0088213C">
        <w:trPr>
          <w:trHeight w:val="202"/>
        </w:trPr>
        <w:tc>
          <w:tcPr>
            <w:tcW w:w="3858" w:type="dxa"/>
            <w:tcBorders>
              <w:top w:val="nil"/>
              <w:left w:val="nil"/>
              <w:bottom w:val="nil"/>
              <w:right w:val="nil"/>
            </w:tcBorders>
          </w:tcPr>
          <w:p w14:paraId="1847B0B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Balance 1 July</w:t>
            </w:r>
          </w:p>
        </w:tc>
        <w:tc>
          <w:tcPr>
            <w:tcW w:w="1134" w:type="dxa"/>
            <w:tcBorders>
              <w:top w:val="nil"/>
              <w:left w:val="nil"/>
              <w:bottom w:val="nil"/>
              <w:right w:val="nil"/>
            </w:tcBorders>
          </w:tcPr>
          <w:p w14:paraId="11522EC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9,933,688</w:t>
            </w:r>
          </w:p>
        </w:tc>
        <w:tc>
          <w:tcPr>
            <w:tcW w:w="284" w:type="dxa"/>
            <w:tcBorders>
              <w:top w:val="nil"/>
              <w:left w:val="nil"/>
              <w:bottom w:val="nil"/>
              <w:right w:val="nil"/>
            </w:tcBorders>
          </w:tcPr>
          <w:p w14:paraId="18DA2B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04CF37F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14,819,800</w:t>
            </w:r>
          </w:p>
        </w:tc>
        <w:tc>
          <w:tcPr>
            <w:tcW w:w="314" w:type="dxa"/>
            <w:tcBorders>
              <w:top w:val="nil"/>
              <w:left w:val="nil"/>
              <w:bottom w:val="nil"/>
              <w:right w:val="nil"/>
            </w:tcBorders>
          </w:tcPr>
          <w:p w14:paraId="1CA2004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0DF1F00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14" w:type="dxa"/>
            <w:tcBorders>
              <w:top w:val="nil"/>
              <w:left w:val="nil"/>
              <w:bottom w:val="nil"/>
              <w:right w:val="nil"/>
            </w:tcBorders>
          </w:tcPr>
          <w:p w14:paraId="15916C1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06ED352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1,559,000</w:t>
            </w:r>
          </w:p>
        </w:tc>
      </w:tr>
      <w:tr w:rsidR="000251CF" w:rsidRPr="000251CF" w14:paraId="6D9EE58F" w14:textId="77777777" w:rsidTr="0088213C">
        <w:trPr>
          <w:trHeight w:val="202"/>
        </w:trPr>
        <w:tc>
          <w:tcPr>
            <w:tcW w:w="3858" w:type="dxa"/>
            <w:tcBorders>
              <w:top w:val="nil"/>
              <w:left w:val="nil"/>
              <w:bottom w:val="nil"/>
              <w:right w:val="nil"/>
            </w:tcBorders>
          </w:tcPr>
          <w:p w14:paraId="675C46BA"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Net effect of change in accounting policy</w:t>
            </w:r>
          </w:p>
        </w:tc>
        <w:tc>
          <w:tcPr>
            <w:tcW w:w="1134" w:type="dxa"/>
            <w:tcBorders>
              <w:top w:val="nil"/>
              <w:left w:val="nil"/>
              <w:bottom w:val="nil"/>
              <w:right w:val="nil"/>
            </w:tcBorders>
          </w:tcPr>
          <w:p w14:paraId="5A1230A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284" w:type="dxa"/>
            <w:tcBorders>
              <w:top w:val="nil"/>
              <w:left w:val="nil"/>
              <w:bottom w:val="nil"/>
              <w:right w:val="nil"/>
            </w:tcBorders>
          </w:tcPr>
          <w:p w14:paraId="06E048E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6559E3D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(1,340,039)</w:t>
            </w:r>
          </w:p>
        </w:tc>
        <w:tc>
          <w:tcPr>
            <w:tcW w:w="314" w:type="dxa"/>
            <w:tcBorders>
              <w:top w:val="nil"/>
              <w:left w:val="nil"/>
              <w:bottom w:val="nil"/>
              <w:right w:val="nil"/>
            </w:tcBorders>
          </w:tcPr>
          <w:p w14:paraId="4487919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1FE934C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14" w:type="dxa"/>
            <w:tcBorders>
              <w:top w:val="nil"/>
              <w:left w:val="nil"/>
              <w:bottom w:val="nil"/>
              <w:right w:val="nil"/>
            </w:tcBorders>
          </w:tcPr>
          <w:p w14:paraId="509BB2B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0023848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r>
      <w:tr w:rsidR="000251CF" w:rsidRPr="000251CF" w14:paraId="494F13DE" w14:textId="77777777" w:rsidTr="0088213C">
        <w:trPr>
          <w:trHeight w:val="202"/>
        </w:trPr>
        <w:tc>
          <w:tcPr>
            <w:tcW w:w="3858" w:type="dxa"/>
            <w:tcBorders>
              <w:top w:val="nil"/>
              <w:left w:val="nil"/>
              <w:bottom w:val="nil"/>
              <w:right w:val="nil"/>
            </w:tcBorders>
          </w:tcPr>
          <w:p w14:paraId="03D98E9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Operating Result from Continuing Operations</w:t>
            </w:r>
          </w:p>
        </w:tc>
        <w:tc>
          <w:tcPr>
            <w:tcW w:w="1134" w:type="dxa"/>
            <w:tcBorders>
              <w:top w:val="nil"/>
              <w:left w:val="nil"/>
              <w:bottom w:val="nil"/>
              <w:right w:val="nil"/>
            </w:tcBorders>
          </w:tcPr>
          <w:p w14:paraId="4C4037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(943,533)</w:t>
            </w:r>
          </w:p>
        </w:tc>
        <w:tc>
          <w:tcPr>
            <w:tcW w:w="284" w:type="dxa"/>
            <w:tcBorders>
              <w:top w:val="nil"/>
              <w:left w:val="nil"/>
              <w:bottom w:val="nil"/>
              <w:right w:val="nil"/>
            </w:tcBorders>
          </w:tcPr>
          <w:p w14:paraId="56A9CAD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4AD6FD8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(605,073)</w:t>
            </w:r>
          </w:p>
        </w:tc>
        <w:tc>
          <w:tcPr>
            <w:tcW w:w="314" w:type="dxa"/>
            <w:tcBorders>
              <w:top w:val="nil"/>
              <w:left w:val="nil"/>
              <w:bottom w:val="nil"/>
              <w:right w:val="nil"/>
            </w:tcBorders>
          </w:tcPr>
          <w:p w14:paraId="34CA28E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4A90B4A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14" w:type="dxa"/>
            <w:tcBorders>
              <w:top w:val="nil"/>
              <w:left w:val="nil"/>
              <w:bottom w:val="nil"/>
              <w:right w:val="nil"/>
            </w:tcBorders>
          </w:tcPr>
          <w:p w14:paraId="2C6E8EF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286F1A4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r>
      <w:tr w:rsidR="000251CF" w:rsidRPr="000251CF" w14:paraId="69538532" w14:textId="77777777" w:rsidTr="0088213C">
        <w:trPr>
          <w:trHeight w:val="202"/>
        </w:trPr>
        <w:tc>
          <w:tcPr>
            <w:tcW w:w="3858" w:type="dxa"/>
            <w:tcBorders>
              <w:top w:val="nil"/>
              <w:left w:val="nil"/>
              <w:bottom w:val="nil"/>
              <w:right w:val="nil"/>
            </w:tcBorders>
          </w:tcPr>
          <w:p w14:paraId="79BA06D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 Comprehensive Income</w:t>
            </w:r>
          </w:p>
        </w:tc>
        <w:tc>
          <w:tcPr>
            <w:tcW w:w="1134" w:type="dxa"/>
            <w:tcBorders>
              <w:top w:val="nil"/>
              <w:left w:val="nil"/>
              <w:bottom w:val="nil"/>
              <w:right w:val="nil"/>
            </w:tcBorders>
          </w:tcPr>
          <w:p w14:paraId="70A51BC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284" w:type="dxa"/>
            <w:tcBorders>
              <w:top w:val="nil"/>
              <w:left w:val="nil"/>
              <w:bottom w:val="nil"/>
              <w:right w:val="nil"/>
            </w:tcBorders>
          </w:tcPr>
          <w:p w14:paraId="0926970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287DA2C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14" w:type="dxa"/>
            <w:tcBorders>
              <w:top w:val="nil"/>
              <w:left w:val="nil"/>
              <w:bottom w:val="nil"/>
              <w:right w:val="nil"/>
            </w:tcBorders>
          </w:tcPr>
          <w:p w14:paraId="76DA194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2807F3F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14" w:type="dxa"/>
            <w:tcBorders>
              <w:top w:val="nil"/>
              <w:left w:val="nil"/>
              <w:bottom w:val="nil"/>
              <w:right w:val="nil"/>
            </w:tcBorders>
          </w:tcPr>
          <w:p w14:paraId="5425F48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4F22138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r>
      <w:tr w:rsidR="000251CF" w:rsidRPr="000251CF" w14:paraId="66544D69" w14:textId="77777777" w:rsidTr="0088213C">
        <w:trPr>
          <w:trHeight w:val="202"/>
        </w:trPr>
        <w:tc>
          <w:tcPr>
            <w:tcW w:w="3858" w:type="dxa"/>
            <w:tcBorders>
              <w:top w:val="nil"/>
              <w:left w:val="nil"/>
              <w:bottom w:val="nil"/>
              <w:right w:val="nil"/>
            </w:tcBorders>
          </w:tcPr>
          <w:p w14:paraId="4429ABA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Transactions with owners as owners</w:t>
            </w:r>
          </w:p>
        </w:tc>
        <w:tc>
          <w:tcPr>
            <w:tcW w:w="1134" w:type="dxa"/>
            <w:tcBorders>
              <w:top w:val="nil"/>
              <w:left w:val="nil"/>
              <w:bottom w:val="nil"/>
              <w:right w:val="nil"/>
            </w:tcBorders>
          </w:tcPr>
          <w:p w14:paraId="0DA9F88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84" w:type="dxa"/>
            <w:tcBorders>
              <w:top w:val="nil"/>
              <w:left w:val="nil"/>
              <w:bottom w:val="nil"/>
              <w:right w:val="nil"/>
            </w:tcBorders>
          </w:tcPr>
          <w:p w14:paraId="4CAF75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024847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14" w:type="dxa"/>
            <w:tcBorders>
              <w:top w:val="nil"/>
              <w:left w:val="nil"/>
              <w:bottom w:val="nil"/>
              <w:right w:val="nil"/>
            </w:tcBorders>
          </w:tcPr>
          <w:p w14:paraId="29F4216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15B34CA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14" w:type="dxa"/>
            <w:tcBorders>
              <w:top w:val="nil"/>
              <w:left w:val="nil"/>
              <w:bottom w:val="nil"/>
              <w:right w:val="nil"/>
            </w:tcBorders>
          </w:tcPr>
          <w:p w14:paraId="1A90B5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3C99761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0B740689" w14:textId="77777777" w:rsidTr="0088213C">
        <w:trPr>
          <w:trHeight w:val="202"/>
        </w:trPr>
        <w:tc>
          <w:tcPr>
            <w:tcW w:w="3858" w:type="dxa"/>
            <w:tcBorders>
              <w:top w:val="nil"/>
              <w:left w:val="nil"/>
              <w:bottom w:val="nil"/>
              <w:right w:val="nil"/>
            </w:tcBorders>
          </w:tcPr>
          <w:p w14:paraId="4B2A950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 - Transfer to Queensland Treasury (note 19)</w:t>
            </w:r>
          </w:p>
        </w:tc>
        <w:tc>
          <w:tcPr>
            <w:tcW w:w="1134" w:type="dxa"/>
            <w:tcBorders>
              <w:top w:val="nil"/>
              <w:left w:val="nil"/>
              <w:bottom w:val="nil"/>
              <w:right w:val="nil"/>
            </w:tcBorders>
          </w:tcPr>
          <w:p w14:paraId="3BA500B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284" w:type="dxa"/>
            <w:tcBorders>
              <w:top w:val="nil"/>
              <w:left w:val="nil"/>
              <w:bottom w:val="nil"/>
              <w:right w:val="nil"/>
            </w:tcBorders>
          </w:tcPr>
          <w:p w14:paraId="441A5D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429046F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(2,941,000)</w:t>
            </w:r>
          </w:p>
        </w:tc>
        <w:tc>
          <w:tcPr>
            <w:tcW w:w="314" w:type="dxa"/>
            <w:tcBorders>
              <w:top w:val="nil"/>
              <w:left w:val="nil"/>
              <w:bottom w:val="nil"/>
              <w:right w:val="nil"/>
            </w:tcBorders>
          </w:tcPr>
          <w:p w14:paraId="33FE935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48668F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14" w:type="dxa"/>
            <w:tcBorders>
              <w:top w:val="nil"/>
              <w:left w:val="nil"/>
              <w:bottom w:val="nil"/>
              <w:right w:val="nil"/>
            </w:tcBorders>
          </w:tcPr>
          <w:p w14:paraId="21A48B5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408362D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(1,559,000)</w:t>
            </w:r>
          </w:p>
        </w:tc>
      </w:tr>
      <w:tr w:rsidR="000251CF" w:rsidRPr="000251CF" w14:paraId="0487ED6C" w14:textId="77777777" w:rsidTr="0088213C">
        <w:trPr>
          <w:trHeight w:val="202"/>
        </w:trPr>
        <w:tc>
          <w:tcPr>
            <w:tcW w:w="3858" w:type="dxa"/>
            <w:tcBorders>
              <w:top w:val="nil"/>
              <w:left w:val="nil"/>
              <w:bottom w:val="nil"/>
              <w:right w:val="nil"/>
            </w:tcBorders>
          </w:tcPr>
          <w:p w14:paraId="7D2B783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1134" w:type="dxa"/>
            <w:tcBorders>
              <w:top w:val="nil"/>
              <w:left w:val="nil"/>
              <w:bottom w:val="nil"/>
              <w:right w:val="nil"/>
            </w:tcBorders>
          </w:tcPr>
          <w:p w14:paraId="07B04DB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284" w:type="dxa"/>
            <w:tcBorders>
              <w:top w:val="nil"/>
              <w:left w:val="nil"/>
              <w:bottom w:val="nil"/>
              <w:right w:val="nil"/>
            </w:tcBorders>
          </w:tcPr>
          <w:p w14:paraId="11A16CA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1085" w:type="dxa"/>
            <w:tcBorders>
              <w:top w:val="nil"/>
              <w:left w:val="nil"/>
              <w:bottom w:val="nil"/>
              <w:right w:val="nil"/>
            </w:tcBorders>
          </w:tcPr>
          <w:p w14:paraId="78D0EA1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314" w:type="dxa"/>
            <w:tcBorders>
              <w:top w:val="nil"/>
              <w:left w:val="nil"/>
              <w:bottom w:val="nil"/>
              <w:right w:val="nil"/>
            </w:tcBorders>
          </w:tcPr>
          <w:p w14:paraId="01B2A9B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1010" w:type="dxa"/>
            <w:tcBorders>
              <w:top w:val="nil"/>
              <w:left w:val="nil"/>
              <w:bottom w:val="nil"/>
              <w:right w:val="nil"/>
            </w:tcBorders>
          </w:tcPr>
          <w:p w14:paraId="3E258E1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314" w:type="dxa"/>
            <w:tcBorders>
              <w:top w:val="nil"/>
              <w:left w:val="nil"/>
              <w:bottom w:val="nil"/>
              <w:right w:val="nil"/>
            </w:tcBorders>
          </w:tcPr>
          <w:p w14:paraId="41C92CE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1104" w:type="dxa"/>
            <w:tcBorders>
              <w:top w:val="nil"/>
              <w:left w:val="nil"/>
              <w:bottom w:val="nil"/>
              <w:right w:val="nil"/>
            </w:tcBorders>
          </w:tcPr>
          <w:p w14:paraId="5DCC5FE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r>
      <w:tr w:rsidR="000251CF" w:rsidRPr="000251CF" w14:paraId="7FE3CBE9" w14:textId="77777777" w:rsidTr="0088213C">
        <w:trPr>
          <w:trHeight w:val="202"/>
        </w:trPr>
        <w:tc>
          <w:tcPr>
            <w:tcW w:w="3858" w:type="dxa"/>
            <w:tcBorders>
              <w:top w:val="nil"/>
              <w:left w:val="nil"/>
              <w:bottom w:val="nil"/>
              <w:right w:val="nil"/>
            </w:tcBorders>
          </w:tcPr>
          <w:p w14:paraId="6DAC0D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34" w:type="dxa"/>
            <w:tcBorders>
              <w:top w:val="nil"/>
              <w:left w:val="nil"/>
              <w:bottom w:val="nil"/>
              <w:right w:val="nil"/>
            </w:tcBorders>
          </w:tcPr>
          <w:p w14:paraId="7C8208A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4" w:type="dxa"/>
            <w:tcBorders>
              <w:top w:val="nil"/>
              <w:left w:val="nil"/>
              <w:bottom w:val="nil"/>
              <w:right w:val="nil"/>
            </w:tcBorders>
          </w:tcPr>
          <w:p w14:paraId="2392ED6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5" w:type="dxa"/>
            <w:tcBorders>
              <w:top w:val="nil"/>
              <w:left w:val="nil"/>
              <w:bottom w:val="nil"/>
              <w:right w:val="nil"/>
            </w:tcBorders>
          </w:tcPr>
          <w:p w14:paraId="56A9355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14" w:type="dxa"/>
            <w:tcBorders>
              <w:top w:val="nil"/>
              <w:left w:val="nil"/>
              <w:bottom w:val="nil"/>
              <w:right w:val="nil"/>
            </w:tcBorders>
          </w:tcPr>
          <w:p w14:paraId="3470570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10" w:type="dxa"/>
            <w:tcBorders>
              <w:top w:val="nil"/>
              <w:left w:val="nil"/>
              <w:bottom w:val="nil"/>
              <w:right w:val="nil"/>
            </w:tcBorders>
          </w:tcPr>
          <w:p w14:paraId="54C743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314" w:type="dxa"/>
            <w:tcBorders>
              <w:top w:val="nil"/>
              <w:left w:val="nil"/>
              <w:bottom w:val="nil"/>
              <w:right w:val="nil"/>
            </w:tcBorders>
          </w:tcPr>
          <w:p w14:paraId="7B80889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104" w:type="dxa"/>
            <w:tcBorders>
              <w:top w:val="nil"/>
              <w:left w:val="nil"/>
              <w:bottom w:val="nil"/>
              <w:right w:val="nil"/>
            </w:tcBorders>
          </w:tcPr>
          <w:p w14:paraId="0D047AB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618A45F0" w14:textId="77777777" w:rsidTr="0088213C">
        <w:trPr>
          <w:trHeight w:val="216"/>
        </w:trPr>
        <w:tc>
          <w:tcPr>
            <w:tcW w:w="3858" w:type="dxa"/>
            <w:tcBorders>
              <w:top w:val="nil"/>
              <w:left w:val="nil"/>
              <w:bottom w:val="nil"/>
              <w:right w:val="nil"/>
            </w:tcBorders>
          </w:tcPr>
          <w:p w14:paraId="6112B443"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Balance 30 June</w:t>
            </w:r>
          </w:p>
        </w:tc>
        <w:tc>
          <w:tcPr>
            <w:tcW w:w="1134" w:type="dxa"/>
            <w:tcBorders>
              <w:top w:val="single" w:sz="6" w:space="0" w:color="auto"/>
              <w:left w:val="nil"/>
              <w:bottom w:val="double" w:sz="6" w:space="0" w:color="auto"/>
              <w:right w:val="nil"/>
            </w:tcBorders>
          </w:tcPr>
          <w:p w14:paraId="259A49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8,990,155</w:t>
            </w:r>
          </w:p>
        </w:tc>
        <w:tc>
          <w:tcPr>
            <w:tcW w:w="284" w:type="dxa"/>
            <w:tcBorders>
              <w:top w:val="single" w:sz="6" w:space="0" w:color="auto"/>
              <w:left w:val="nil"/>
              <w:bottom w:val="double" w:sz="6" w:space="0" w:color="auto"/>
              <w:right w:val="nil"/>
            </w:tcBorders>
          </w:tcPr>
          <w:p w14:paraId="2B095BC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5" w:type="dxa"/>
            <w:tcBorders>
              <w:top w:val="single" w:sz="6" w:space="0" w:color="auto"/>
              <w:left w:val="nil"/>
              <w:bottom w:val="double" w:sz="6" w:space="0" w:color="auto"/>
              <w:right w:val="nil"/>
            </w:tcBorders>
          </w:tcPr>
          <w:p w14:paraId="211374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9,933,688</w:t>
            </w:r>
          </w:p>
        </w:tc>
        <w:tc>
          <w:tcPr>
            <w:tcW w:w="314" w:type="dxa"/>
            <w:tcBorders>
              <w:top w:val="single" w:sz="6" w:space="0" w:color="auto"/>
              <w:left w:val="nil"/>
              <w:bottom w:val="double" w:sz="6" w:space="0" w:color="auto"/>
              <w:right w:val="nil"/>
            </w:tcBorders>
          </w:tcPr>
          <w:p w14:paraId="0274D88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10" w:type="dxa"/>
            <w:tcBorders>
              <w:top w:val="single" w:sz="6" w:space="0" w:color="auto"/>
              <w:left w:val="nil"/>
              <w:bottom w:val="double" w:sz="6" w:space="0" w:color="auto"/>
              <w:right w:val="nil"/>
            </w:tcBorders>
          </w:tcPr>
          <w:p w14:paraId="57A491A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314" w:type="dxa"/>
            <w:tcBorders>
              <w:top w:val="single" w:sz="6" w:space="0" w:color="auto"/>
              <w:left w:val="nil"/>
              <w:bottom w:val="double" w:sz="6" w:space="0" w:color="auto"/>
              <w:right w:val="nil"/>
            </w:tcBorders>
          </w:tcPr>
          <w:p w14:paraId="5F73C9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104" w:type="dxa"/>
            <w:tcBorders>
              <w:top w:val="single" w:sz="6" w:space="0" w:color="auto"/>
              <w:left w:val="nil"/>
              <w:bottom w:val="double" w:sz="6" w:space="0" w:color="auto"/>
              <w:right w:val="nil"/>
            </w:tcBorders>
          </w:tcPr>
          <w:p w14:paraId="780E8ED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bl>
    <w:p w14:paraId="1297A017" w14:textId="77777777" w:rsidR="00EF65F4" w:rsidRDefault="00EF65F4" w:rsidP="003D3BAE">
      <w:pPr>
        <w:rPr>
          <w:i/>
          <w:sz w:val="16"/>
          <w:szCs w:val="16"/>
        </w:rPr>
      </w:pPr>
    </w:p>
    <w:p w14:paraId="3652889B" w14:textId="77777777" w:rsidR="003D3BAE" w:rsidRPr="00E01007" w:rsidRDefault="003D3BAE" w:rsidP="003D3BAE">
      <w:pPr>
        <w:tabs>
          <w:tab w:val="left" w:pos="1590"/>
        </w:tabs>
        <w:rPr>
          <w:rStyle w:val="QCAQualificationsBlack"/>
          <w:i/>
          <w:color w:val="595959" w:themeColor="text1" w:themeTint="A6"/>
          <w:sz w:val="14"/>
          <w:szCs w:val="14"/>
        </w:rPr>
      </w:pPr>
      <w:r w:rsidRPr="00E01007">
        <w:rPr>
          <w:rStyle w:val="QCAQualificationsBlack"/>
          <w:i/>
          <w:color w:val="595959" w:themeColor="text1" w:themeTint="A6"/>
          <w:sz w:val="14"/>
          <w:szCs w:val="14"/>
        </w:rPr>
        <w:t>The accompanying notes form part of these financial statements</w:t>
      </w:r>
    </w:p>
    <w:p w14:paraId="74BED564" w14:textId="77777777" w:rsidR="008A5281" w:rsidRDefault="008A5281" w:rsidP="00DD461D">
      <w:pPr>
        <w:tabs>
          <w:tab w:val="left" w:pos="1590"/>
        </w:tabs>
        <w:rPr>
          <w:rStyle w:val="QCAQualificationsBlack"/>
          <w:sz w:val="16"/>
          <w:szCs w:val="16"/>
          <w:highlight w:val="yellow"/>
        </w:rPr>
      </w:pPr>
    </w:p>
    <w:p w14:paraId="580D433B" w14:textId="77777777" w:rsidR="00447ED8" w:rsidRDefault="00447ED8" w:rsidP="00DD461D">
      <w:pPr>
        <w:tabs>
          <w:tab w:val="left" w:pos="1590"/>
        </w:tabs>
        <w:rPr>
          <w:rStyle w:val="QCAQualificationsBlack"/>
          <w:sz w:val="16"/>
          <w:szCs w:val="16"/>
          <w:highlight w:val="yellow"/>
        </w:rPr>
      </w:pPr>
    </w:p>
    <w:p w14:paraId="0FD9097A" w14:textId="77777777" w:rsidR="00447ED8" w:rsidRDefault="00447ED8" w:rsidP="00DD461D">
      <w:pPr>
        <w:tabs>
          <w:tab w:val="left" w:pos="1590"/>
        </w:tabs>
        <w:rPr>
          <w:rStyle w:val="QCAQualificationsBlack"/>
          <w:sz w:val="16"/>
          <w:szCs w:val="16"/>
          <w:highlight w:val="yellow"/>
        </w:rPr>
      </w:pPr>
    </w:p>
    <w:p w14:paraId="144D3509" w14:textId="77777777" w:rsidR="00447ED8" w:rsidRDefault="00447ED8" w:rsidP="00DD461D">
      <w:pPr>
        <w:tabs>
          <w:tab w:val="left" w:pos="1590"/>
        </w:tabs>
        <w:rPr>
          <w:rStyle w:val="QCAQualificationsBlack"/>
          <w:sz w:val="16"/>
          <w:szCs w:val="16"/>
          <w:highlight w:val="yellow"/>
        </w:rPr>
      </w:pPr>
    </w:p>
    <w:p w14:paraId="70F85815" w14:textId="77777777" w:rsidR="00447ED8" w:rsidRDefault="00447ED8" w:rsidP="00DD461D">
      <w:pPr>
        <w:tabs>
          <w:tab w:val="left" w:pos="1590"/>
        </w:tabs>
        <w:rPr>
          <w:rStyle w:val="QCAQualificationsBlack"/>
          <w:sz w:val="16"/>
          <w:szCs w:val="16"/>
          <w:highlight w:val="yellow"/>
        </w:rPr>
      </w:pPr>
    </w:p>
    <w:p w14:paraId="02581837" w14:textId="77777777" w:rsidR="00447ED8" w:rsidRDefault="00447ED8" w:rsidP="00DD461D">
      <w:pPr>
        <w:tabs>
          <w:tab w:val="left" w:pos="1590"/>
        </w:tabs>
        <w:rPr>
          <w:rStyle w:val="QCAQualificationsBlack"/>
          <w:sz w:val="16"/>
          <w:szCs w:val="16"/>
          <w:highlight w:val="yellow"/>
        </w:rPr>
      </w:pPr>
    </w:p>
    <w:p w14:paraId="08A5AFC1" w14:textId="77777777" w:rsidR="00447ED8" w:rsidRDefault="00447ED8" w:rsidP="00DD461D">
      <w:pPr>
        <w:tabs>
          <w:tab w:val="left" w:pos="1590"/>
        </w:tabs>
        <w:rPr>
          <w:rStyle w:val="QCAQualificationsBlack"/>
          <w:sz w:val="16"/>
          <w:szCs w:val="16"/>
          <w:highlight w:val="yellow"/>
        </w:rPr>
      </w:pPr>
    </w:p>
    <w:p w14:paraId="57543450" w14:textId="77777777" w:rsidR="00447ED8" w:rsidRDefault="00447ED8" w:rsidP="00DD461D">
      <w:pPr>
        <w:tabs>
          <w:tab w:val="left" w:pos="1590"/>
        </w:tabs>
        <w:rPr>
          <w:rStyle w:val="QCAQualificationsBlack"/>
          <w:sz w:val="16"/>
          <w:szCs w:val="16"/>
          <w:highlight w:val="yellow"/>
        </w:rPr>
      </w:pPr>
    </w:p>
    <w:p w14:paraId="5467D08C" w14:textId="77777777" w:rsidR="00447ED8" w:rsidRDefault="00447ED8" w:rsidP="00DD461D">
      <w:pPr>
        <w:tabs>
          <w:tab w:val="left" w:pos="1590"/>
        </w:tabs>
        <w:rPr>
          <w:rStyle w:val="QCAQualificationsBlack"/>
          <w:sz w:val="16"/>
          <w:szCs w:val="16"/>
          <w:highlight w:val="yellow"/>
        </w:rPr>
      </w:pPr>
    </w:p>
    <w:p w14:paraId="2DB86034" w14:textId="77777777" w:rsidR="00447ED8" w:rsidRDefault="00447ED8" w:rsidP="00DD461D">
      <w:pPr>
        <w:tabs>
          <w:tab w:val="left" w:pos="1590"/>
        </w:tabs>
        <w:rPr>
          <w:rStyle w:val="QCAQualificationsBlack"/>
          <w:sz w:val="16"/>
          <w:szCs w:val="16"/>
          <w:highlight w:val="yellow"/>
        </w:rPr>
      </w:pPr>
    </w:p>
    <w:p w14:paraId="154F8076" w14:textId="77777777" w:rsidR="00447ED8" w:rsidRDefault="00447ED8" w:rsidP="00DD461D">
      <w:pPr>
        <w:tabs>
          <w:tab w:val="left" w:pos="1590"/>
        </w:tabs>
        <w:rPr>
          <w:rStyle w:val="QCAQualificationsBlack"/>
          <w:sz w:val="16"/>
          <w:szCs w:val="16"/>
          <w:highlight w:val="yellow"/>
        </w:rPr>
      </w:pPr>
    </w:p>
    <w:p w14:paraId="25FFF2FB" w14:textId="77777777" w:rsidR="00447ED8" w:rsidRDefault="00447ED8" w:rsidP="00DD461D">
      <w:pPr>
        <w:tabs>
          <w:tab w:val="left" w:pos="1590"/>
        </w:tabs>
        <w:rPr>
          <w:rStyle w:val="QCAQualificationsBlack"/>
          <w:sz w:val="16"/>
          <w:szCs w:val="16"/>
          <w:highlight w:val="yellow"/>
        </w:rPr>
      </w:pPr>
    </w:p>
    <w:p w14:paraId="67193EEE" w14:textId="77777777" w:rsidR="00447ED8" w:rsidRDefault="00447ED8" w:rsidP="00DD461D">
      <w:pPr>
        <w:tabs>
          <w:tab w:val="left" w:pos="1590"/>
        </w:tabs>
        <w:rPr>
          <w:rStyle w:val="QCAQualificationsBlack"/>
          <w:sz w:val="16"/>
          <w:szCs w:val="16"/>
          <w:highlight w:val="yellow"/>
        </w:rPr>
      </w:pPr>
    </w:p>
    <w:p w14:paraId="4E900FB2" w14:textId="77777777" w:rsidR="00447ED8" w:rsidRDefault="00447ED8" w:rsidP="00DD461D">
      <w:pPr>
        <w:tabs>
          <w:tab w:val="left" w:pos="1590"/>
        </w:tabs>
        <w:rPr>
          <w:rStyle w:val="QCAQualificationsBlack"/>
          <w:sz w:val="16"/>
          <w:szCs w:val="16"/>
          <w:highlight w:val="yellow"/>
        </w:rPr>
      </w:pPr>
    </w:p>
    <w:p w14:paraId="07B6F456" w14:textId="77777777" w:rsidR="00447ED8" w:rsidRDefault="00447ED8" w:rsidP="00DD461D">
      <w:pPr>
        <w:tabs>
          <w:tab w:val="left" w:pos="1590"/>
        </w:tabs>
        <w:rPr>
          <w:rStyle w:val="QCAQualificationsBlack"/>
          <w:sz w:val="16"/>
          <w:szCs w:val="16"/>
          <w:highlight w:val="yellow"/>
        </w:rPr>
      </w:pPr>
    </w:p>
    <w:p w14:paraId="10C84476" w14:textId="77777777" w:rsidR="00447ED8" w:rsidRDefault="00447ED8" w:rsidP="00DD461D">
      <w:pPr>
        <w:tabs>
          <w:tab w:val="left" w:pos="1590"/>
        </w:tabs>
        <w:rPr>
          <w:rStyle w:val="QCAQualificationsBlack"/>
          <w:sz w:val="16"/>
          <w:szCs w:val="16"/>
          <w:highlight w:val="yellow"/>
        </w:rPr>
      </w:pPr>
    </w:p>
    <w:p w14:paraId="6DF725B3" w14:textId="77777777" w:rsidR="00447ED8" w:rsidRDefault="00447ED8" w:rsidP="00DD461D">
      <w:pPr>
        <w:tabs>
          <w:tab w:val="left" w:pos="1590"/>
        </w:tabs>
        <w:rPr>
          <w:rStyle w:val="QCAQualificationsBlack"/>
          <w:sz w:val="16"/>
          <w:szCs w:val="16"/>
          <w:highlight w:val="yellow"/>
        </w:rPr>
      </w:pPr>
    </w:p>
    <w:p w14:paraId="3D6E4521" w14:textId="77777777" w:rsidR="00447ED8" w:rsidRDefault="00447ED8" w:rsidP="00DD461D">
      <w:pPr>
        <w:tabs>
          <w:tab w:val="left" w:pos="1590"/>
        </w:tabs>
        <w:rPr>
          <w:rStyle w:val="QCAQualificationsBlack"/>
          <w:sz w:val="16"/>
          <w:szCs w:val="16"/>
          <w:highlight w:val="yellow"/>
        </w:rPr>
      </w:pPr>
    </w:p>
    <w:p w14:paraId="4A5EDBA1" w14:textId="77777777" w:rsidR="00447ED8" w:rsidRDefault="00447ED8" w:rsidP="00DD461D">
      <w:pPr>
        <w:tabs>
          <w:tab w:val="left" w:pos="1590"/>
        </w:tabs>
        <w:rPr>
          <w:rStyle w:val="QCAQualificationsBlack"/>
          <w:sz w:val="16"/>
          <w:szCs w:val="16"/>
          <w:highlight w:val="yellow"/>
        </w:rPr>
      </w:pPr>
    </w:p>
    <w:p w14:paraId="341C84C2" w14:textId="77777777" w:rsidR="00447ED8" w:rsidRDefault="00447ED8" w:rsidP="00DD461D">
      <w:pPr>
        <w:tabs>
          <w:tab w:val="left" w:pos="1590"/>
        </w:tabs>
        <w:rPr>
          <w:rStyle w:val="QCAQualificationsBlack"/>
          <w:sz w:val="16"/>
          <w:szCs w:val="16"/>
          <w:highlight w:val="yellow"/>
        </w:rPr>
      </w:pPr>
    </w:p>
    <w:p w14:paraId="451DD514" w14:textId="77777777" w:rsidR="00447ED8" w:rsidRDefault="00447ED8" w:rsidP="00DD461D">
      <w:pPr>
        <w:tabs>
          <w:tab w:val="left" w:pos="1590"/>
        </w:tabs>
        <w:rPr>
          <w:rStyle w:val="QCAQualificationsBlack"/>
          <w:sz w:val="16"/>
          <w:szCs w:val="16"/>
          <w:highlight w:val="yellow"/>
        </w:rPr>
      </w:pPr>
    </w:p>
    <w:p w14:paraId="24842880" w14:textId="77777777" w:rsidR="00447ED8" w:rsidRDefault="00447ED8" w:rsidP="00DD461D">
      <w:pPr>
        <w:tabs>
          <w:tab w:val="left" w:pos="1590"/>
        </w:tabs>
        <w:rPr>
          <w:rStyle w:val="QCAQualificationsBlack"/>
          <w:sz w:val="16"/>
          <w:szCs w:val="16"/>
          <w:highlight w:val="yellow"/>
        </w:rPr>
      </w:pPr>
    </w:p>
    <w:p w14:paraId="2D107C54" w14:textId="3C40A043" w:rsidR="00F32164" w:rsidRDefault="00F32164" w:rsidP="00DD461D">
      <w:pPr>
        <w:tabs>
          <w:tab w:val="left" w:pos="1590"/>
        </w:tabs>
        <w:rPr>
          <w:rStyle w:val="QCAQualificationsBlack"/>
          <w:sz w:val="16"/>
          <w:szCs w:val="16"/>
          <w:highlight w:val="yellow"/>
        </w:rPr>
      </w:pPr>
    </w:p>
    <w:p w14:paraId="165103A8" w14:textId="77777777" w:rsidR="00F32164" w:rsidRDefault="00F32164" w:rsidP="00DD461D">
      <w:pPr>
        <w:tabs>
          <w:tab w:val="left" w:pos="1590"/>
        </w:tabs>
        <w:rPr>
          <w:rStyle w:val="QCAQualificationsBlack"/>
          <w:sz w:val="16"/>
          <w:szCs w:val="16"/>
          <w:highlight w:val="yellow"/>
        </w:rPr>
      </w:pPr>
    </w:p>
    <w:p w14:paraId="51D7EC20" w14:textId="77777777" w:rsidR="00442178" w:rsidRDefault="00442178" w:rsidP="0029437F">
      <w:pPr>
        <w:tabs>
          <w:tab w:val="left" w:pos="1590"/>
        </w:tabs>
        <w:ind w:left="7655"/>
        <w:rPr>
          <w:rStyle w:val="QCAQualificationsBlack"/>
          <w:sz w:val="16"/>
          <w:szCs w:val="16"/>
          <w:highlight w:val="yellow"/>
        </w:rPr>
      </w:pPr>
    </w:p>
    <w:p w14:paraId="638A7099" w14:textId="2B0E72A9" w:rsidR="00DD461D" w:rsidRPr="008A5281" w:rsidRDefault="00C942DD" w:rsidP="00DD461D">
      <w:pPr>
        <w:pStyle w:val="Heading2"/>
      </w:pPr>
      <w:r w:rsidRPr="00C942DD">
        <w:rPr>
          <w:highlight w:val="yellow"/>
        </w:rPr>
        <w:br w:type="page"/>
      </w:r>
      <w:bookmarkStart w:id="225" w:name="_Toc487532148"/>
      <w:bookmarkStart w:id="226" w:name="_Toc487614525"/>
      <w:bookmarkStart w:id="227" w:name="_Toc520282167"/>
      <w:bookmarkStart w:id="228" w:name="_Toc80792970"/>
      <w:r w:rsidR="00A74B74" w:rsidRPr="004D2A0B">
        <w:lastRenderedPageBreak/>
        <w:t>Statement of cash flows</w:t>
      </w:r>
      <w:bookmarkEnd w:id="225"/>
      <w:bookmarkEnd w:id="226"/>
      <w:bookmarkEnd w:id="227"/>
      <w:bookmarkEnd w:id="228"/>
    </w:p>
    <w:p w14:paraId="741B4BB0" w14:textId="1281DC09" w:rsidR="009F4AC6" w:rsidRDefault="009F4AC6" w:rsidP="009F4AC6">
      <w:pPr>
        <w:rPr>
          <w:i/>
          <w:sz w:val="16"/>
          <w:szCs w:val="16"/>
        </w:rPr>
      </w:pPr>
      <w:r w:rsidRPr="001F2617">
        <w:rPr>
          <w:i/>
          <w:sz w:val="16"/>
          <w:szCs w:val="16"/>
        </w:rPr>
        <w:t>for the year ended 30 June 20</w:t>
      </w:r>
      <w:r w:rsidR="005B4464">
        <w:rPr>
          <w:i/>
          <w:sz w:val="16"/>
          <w:szCs w:val="16"/>
        </w:rPr>
        <w:t>2</w:t>
      </w:r>
      <w:r w:rsidR="00F557CB">
        <w:rPr>
          <w:i/>
          <w:sz w:val="16"/>
          <w:szCs w:val="16"/>
        </w:rPr>
        <w:t>1</w:t>
      </w:r>
    </w:p>
    <w:p w14:paraId="56338C42" w14:textId="33F1AD1F" w:rsidR="009F4AC6" w:rsidRDefault="009F4AC6" w:rsidP="009F4AC6">
      <w:pPr>
        <w:rPr>
          <w:i/>
          <w:sz w:val="16"/>
          <w:szCs w:val="16"/>
        </w:rPr>
      </w:pPr>
    </w:p>
    <w:tbl>
      <w:tblPr>
        <w:tblW w:w="8961" w:type="dxa"/>
        <w:tblInd w:w="-30" w:type="dxa"/>
        <w:tblLayout w:type="fixed"/>
        <w:tblLook w:val="0000" w:firstRow="0" w:lastRow="0" w:firstColumn="0" w:lastColumn="0" w:noHBand="0" w:noVBand="0"/>
      </w:tblPr>
      <w:tblGrid>
        <w:gridCol w:w="331"/>
        <w:gridCol w:w="4519"/>
        <w:gridCol w:w="632"/>
        <w:gridCol w:w="362"/>
        <w:gridCol w:w="1416"/>
        <w:gridCol w:w="362"/>
        <w:gridCol w:w="1339"/>
      </w:tblGrid>
      <w:tr w:rsidR="000251CF" w:rsidRPr="000251CF" w14:paraId="1C261A4B" w14:textId="77777777" w:rsidTr="0088213C">
        <w:trPr>
          <w:trHeight w:val="233"/>
        </w:trPr>
        <w:tc>
          <w:tcPr>
            <w:tcW w:w="331" w:type="dxa"/>
            <w:tcBorders>
              <w:top w:val="nil"/>
              <w:left w:val="nil"/>
              <w:bottom w:val="nil"/>
              <w:right w:val="nil"/>
            </w:tcBorders>
          </w:tcPr>
          <w:p w14:paraId="4E81F3F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6A79B63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94" w:type="dxa"/>
            <w:gridSpan w:val="2"/>
            <w:tcBorders>
              <w:top w:val="nil"/>
              <w:left w:val="nil"/>
              <w:bottom w:val="nil"/>
              <w:right w:val="nil"/>
            </w:tcBorders>
            <w:shd w:val="solid" w:color="C0C0C0" w:fill="auto"/>
          </w:tcPr>
          <w:p w14:paraId="5A50CB4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Notes</w:t>
            </w:r>
          </w:p>
        </w:tc>
        <w:tc>
          <w:tcPr>
            <w:tcW w:w="1416" w:type="dxa"/>
            <w:tcBorders>
              <w:top w:val="nil"/>
              <w:left w:val="nil"/>
              <w:bottom w:val="nil"/>
              <w:right w:val="nil"/>
            </w:tcBorders>
            <w:shd w:val="solid" w:color="C0C0C0" w:fill="auto"/>
          </w:tcPr>
          <w:p w14:paraId="689428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362" w:type="dxa"/>
            <w:tcBorders>
              <w:top w:val="nil"/>
              <w:left w:val="nil"/>
              <w:bottom w:val="nil"/>
              <w:right w:val="nil"/>
            </w:tcBorders>
            <w:shd w:val="solid" w:color="C0C0C0" w:fill="auto"/>
          </w:tcPr>
          <w:p w14:paraId="16F40CA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nil"/>
              <w:left w:val="nil"/>
              <w:bottom w:val="nil"/>
              <w:right w:val="nil"/>
            </w:tcBorders>
            <w:shd w:val="solid" w:color="C0C0C0" w:fill="auto"/>
          </w:tcPr>
          <w:p w14:paraId="2B955D3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14FA20B4" w14:textId="77777777" w:rsidTr="0088213C">
        <w:trPr>
          <w:trHeight w:val="233"/>
        </w:trPr>
        <w:tc>
          <w:tcPr>
            <w:tcW w:w="331" w:type="dxa"/>
            <w:tcBorders>
              <w:top w:val="nil"/>
              <w:left w:val="nil"/>
              <w:bottom w:val="nil"/>
              <w:right w:val="nil"/>
            </w:tcBorders>
          </w:tcPr>
          <w:p w14:paraId="7CCB66C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2325DE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shd w:val="solid" w:color="C0C0C0" w:fill="auto"/>
          </w:tcPr>
          <w:p w14:paraId="0148FB3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shd w:val="solid" w:color="C0C0C0" w:fill="auto"/>
          </w:tcPr>
          <w:p w14:paraId="67DA9C2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6" w:type="dxa"/>
            <w:tcBorders>
              <w:top w:val="nil"/>
              <w:left w:val="nil"/>
              <w:bottom w:val="nil"/>
              <w:right w:val="nil"/>
            </w:tcBorders>
            <w:shd w:val="solid" w:color="C0C0C0" w:fill="auto"/>
          </w:tcPr>
          <w:p w14:paraId="48A5C4A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362" w:type="dxa"/>
            <w:tcBorders>
              <w:top w:val="nil"/>
              <w:left w:val="nil"/>
              <w:bottom w:val="nil"/>
              <w:right w:val="nil"/>
            </w:tcBorders>
            <w:shd w:val="solid" w:color="C0C0C0" w:fill="auto"/>
          </w:tcPr>
          <w:p w14:paraId="1A765EB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nil"/>
              <w:left w:val="nil"/>
              <w:bottom w:val="nil"/>
              <w:right w:val="nil"/>
            </w:tcBorders>
            <w:shd w:val="solid" w:color="C0C0C0" w:fill="auto"/>
          </w:tcPr>
          <w:p w14:paraId="4A1B50D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 $ </w:t>
            </w:r>
          </w:p>
        </w:tc>
      </w:tr>
      <w:tr w:rsidR="000251CF" w:rsidRPr="000251CF" w14:paraId="18C4F2E5" w14:textId="77777777" w:rsidTr="0088213C">
        <w:trPr>
          <w:trHeight w:val="233"/>
        </w:trPr>
        <w:tc>
          <w:tcPr>
            <w:tcW w:w="4850" w:type="dxa"/>
            <w:gridSpan w:val="2"/>
            <w:tcBorders>
              <w:top w:val="nil"/>
              <w:left w:val="nil"/>
              <w:bottom w:val="nil"/>
              <w:right w:val="nil"/>
            </w:tcBorders>
          </w:tcPr>
          <w:p w14:paraId="5AC55AE0"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Cash flows from operating activities</w:t>
            </w:r>
          </w:p>
        </w:tc>
        <w:tc>
          <w:tcPr>
            <w:tcW w:w="632" w:type="dxa"/>
            <w:tcBorders>
              <w:top w:val="nil"/>
              <w:left w:val="nil"/>
              <w:bottom w:val="nil"/>
              <w:right w:val="nil"/>
            </w:tcBorders>
          </w:tcPr>
          <w:p w14:paraId="603C3A2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018F26B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6" w:type="dxa"/>
            <w:tcBorders>
              <w:top w:val="nil"/>
              <w:left w:val="nil"/>
              <w:bottom w:val="nil"/>
              <w:right w:val="nil"/>
            </w:tcBorders>
          </w:tcPr>
          <w:p w14:paraId="6BCDC1D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362" w:type="dxa"/>
            <w:tcBorders>
              <w:top w:val="nil"/>
              <w:left w:val="nil"/>
              <w:bottom w:val="nil"/>
              <w:right w:val="nil"/>
            </w:tcBorders>
          </w:tcPr>
          <w:p w14:paraId="4F92B3F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nil"/>
              <w:left w:val="nil"/>
              <w:bottom w:val="nil"/>
              <w:right w:val="nil"/>
            </w:tcBorders>
          </w:tcPr>
          <w:p w14:paraId="4A0E119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7F176535" w14:textId="77777777" w:rsidTr="0088213C">
        <w:trPr>
          <w:trHeight w:val="233"/>
        </w:trPr>
        <w:tc>
          <w:tcPr>
            <w:tcW w:w="331" w:type="dxa"/>
            <w:tcBorders>
              <w:top w:val="nil"/>
              <w:left w:val="nil"/>
              <w:bottom w:val="nil"/>
              <w:right w:val="nil"/>
            </w:tcBorders>
          </w:tcPr>
          <w:p w14:paraId="56A7016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5FED8776" w14:textId="77777777" w:rsidR="000251CF" w:rsidRPr="000251CF" w:rsidRDefault="000251CF" w:rsidP="000251CF">
            <w:pPr>
              <w:autoSpaceDE w:val="0"/>
              <w:autoSpaceDN w:val="0"/>
              <w:adjustRightInd w:val="0"/>
              <w:spacing w:before="0" w:after="0" w:line="240" w:lineRule="auto"/>
              <w:rPr>
                <w:rFonts w:ascii="Tahoma" w:eastAsia="Times New Roman" w:hAnsi="Tahoma" w:cs="Tahoma"/>
                <w:i/>
                <w:iCs/>
                <w:color w:val="000000"/>
                <w:sz w:val="16"/>
                <w:szCs w:val="16"/>
              </w:rPr>
            </w:pPr>
            <w:r w:rsidRPr="000251CF">
              <w:rPr>
                <w:rFonts w:ascii="Tahoma" w:eastAsia="Times New Roman" w:hAnsi="Tahoma" w:cs="Tahoma"/>
                <w:i/>
                <w:iCs/>
                <w:color w:val="000000"/>
                <w:sz w:val="16"/>
                <w:szCs w:val="16"/>
              </w:rPr>
              <w:t>Inflows:</w:t>
            </w:r>
          </w:p>
        </w:tc>
        <w:tc>
          <w:tcPr>
            <w:tcW w:w="632" w:type="dxa"/>
            <w:tcBorders>
              <w:top w:val="nil"/>
              <w:left w:val="nil"/>
              <w:bottom w:val="nil"/>
              <w:right w:val="nil"/>
            </w:tcBorders>
          </w:tcPr>
          <w:p w14:paraId="367298C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655CCFA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349647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0443D3E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3925ED8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4A23A98F" w14:textId="77777777" w:rsidTr="0088213C">
        <w:trPr>
          <w:trHeight w:val="247"/>
        </w:trPr>
        <w:tc>
          <w:tcPr>
            <w:tcW w:w="331" w:type="dxa"/>
            <w:tcBorders>
              <w:top w:val="nil"/>
              <w:left w:val="nil"/>
              <w:bottom w:val="nil"/>
              <w:right w:val="nil"/>
            </w:tcBorders>
          </w:tcPr>
          <w:p w14:paraId="3F928F6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7495151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Government Grant</w:t>
            </w:r>
          </w:p>
        </w:tc>
        <w:tc>
          <w:tcPr>
            <w:tcW w:w="632" w:type="dxa"/>
            <w:tcBorders>
              <w:top w:val="nil"/>
              <w:left w:val="nil"/>
              <w:bottom w:val="nil"/>
              <w:right w:val="nil"/>
            </w:tcBorders>
          </w:tcPr>
          <w:p w14:paraId="16574B6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2DF3A64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773EA3B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3,650,000</w:t>
            </w:r>
          </w:p>
        </w:tc>
        <w:tc>
          <w:tcPr>
            <w:tcW w:w="362" w:type="dxa"/>
            <w:tcBorders>
              <w:top w:val="nil"/>
              <w:left w:val="nil"/>
              <w:bottom w:val="nil"/>
              <w:right w:val="nil"/>
            </w:tcBorders>
          </w:tcPr>
          <w:p w14:paraId="391ABC7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51BC916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4,000,000</w:t>
            </w:r>
          </w:p>
        </w:tc>
      </w:tr>
      <w:tr w:rsidR="000251CF" w:rsidRPr="000251CF" w14:paraId="65216622" w14:textId="77777777" w:rsidTr="0088213C">
        <w:trPr>
          <w:trHeight w:val="247"/>
        </w:trPr>
        <w:tc>
          <w:tcPr>
            <w:tcW w:w="331" w:type="dxa"/>
            <w:tcBorders>
              <w:top w:val="nil"/>
              <w:left w:val="nil"/>
              <w:bottom w:val="nil"/>
              <w:right w:val="nil"/>
            </w:tcBorders>
          </w:tcPr>
          <w:p w14:paraId="552CBE2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3088750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Fees</w:t>
            </w:r>
          </w:p>
        </w:tc>
        <w:tc>
          <w:tcPr>
            <w:tcW w:w="632" w:type="dxa"/>
            <w:tcBorders>
              <w:top w:val="nil"/>
              <w:left w:val="nil"/>
              <w:bottom w:val="nil"/>
              <w:right w:val="nil"/>
            </w:tcBorders>
          </w:tcPr>
          <w:p w14:paraId="7DFF501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6B11A9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355D33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5,968,627</w:t>
            </w:r>
          </w:p>
        </w:tc>
        <w:tc>
          <w:tcPr>
            <w:tcW w:w="362" w:type="dxa"/>
            <w:tcBorders>
              <w:top w:val="nil"/>
              <w:left w:val="nil"/>
              <w:bottom w:val="nil"/>
              <w:right w:val="nil"/>
            </w:tcBorders>
          </w:tcPr>
          <w:p w14:paraId="5E94E64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11542BC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12,776,149</w:t>
            </w:r>
          </w:p>
        </w:tc>
      </w:tr>
      <w:tr w:rsidR="000251CF" w:rsidRPr="000251CF" w14:paraId="762B1F34" w14:textId="77777777" w:rsidTr="0088213C">
        <w:trPr>
          <w:trHeight w:val="247"/>
        </w:trPr>
        <w:tc>
          <w:tcPr>
            <w:tcW w:w="331" w:type="dxa"/>
            <w:tcBorders>
              <w:top w:val="nil"/>
              <w:left w:val="nil"/>
              <w:bottom w:val="nil"/>
              <w:right w:val="nil"/>
            </w:tcBorders>
          </w:tcPr>
          <w:p w14:paraId="4D58208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48E5F19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Interest </w:t>
            </w:r>
          </w:p>
        </w:tc>
        <w:tc>
          <w:tcPr>
            <w:tcW w:w="632" w:type="dxa"/>
            <w:tcBorders>
              <w:top w:val="nil"/>
              <w:left w:val="nil"/>
              <w:bottom w:val="nil"/>
              <w:right w:val="nil"/>
            </w:tcBorders>
          </w:tcPr>
          <w:p w14:paraId="3872911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1E35DC2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34B9D1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83,431</w:t>
            </w:r>
          </w:p>
        </w:tc>
        <w:tc>
          <w:tcPr>
            <w:tcW w:w="362" w:type="dxa"/>
            <w:tcBorders>
              <w:top w:val="nil"/>
              <w:left w:val="nil"/>
              <w:bottom w:val="nil"/>
              <w:right w:val="nil"/>
            </w:tcBorders>
          </w:tcPr>
          <w:p w14:paraId="56D705F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120C1FC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216,264</w:t>
            </w:r>
          </w:p>
        </w:tc>
      </w:tr>
      <w:tr w:rsidR="000251CF" w:rsidRPr="000251CF" w14:paraId="4076AF1B" w14:textId="77777777" w:rsidTr="0088213C">
        <w:trPr>
          <w:trHeight w:val="247"/>
        </w:trPr>
        <w:tc>
          <w:tcPr>
            <w:tcW w:w="331" w:type="dxa"/>
            <w:tcBorders>
              <w:top w:val="nil"/>
              <w:left w:val="nil"/>
              <w:bottom w:val="nil"/>
              <w:right w:val="nil"/>
            </w:tcBorders>
          </w:tcPr>
          <w:p w14:paraId="6F5903E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44F7920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w:t>
            </w:r>
          </w:p>
        </w:tc>
        <w:tc>
          <w:tcPr>
            <w:tcW w:w="632" w:type="dxa"/>
            <w:tcBorders>
              <w:top w:val="nil"/>
              <w:left w:val="nil"/>
              <w:bottom w:val="nil"/>
              <w:right w:val="nil"/>
            </w:tcBorders>
          </w:tcPr>
          <w:p w14:paraId="68AAF48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0173F04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7D4C83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605,391</w:t>
            </w:r>
          </w:p>
        </w:tc>
        <w:tc>
          <w:tcPr>
            <w:tcW w:w="362" w:type="dxa"/>
            <w:tcBorders>
              <w:top w:val="nil"/>
              <w:left w:val="nil"/>
              <w:bottom w:val="nil"/>
              <w:right w:val="nil"/>
            </w:tcBorders>
          </w:tcPr>
          <w:p w14:paraId="19113D8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4571F95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533,984</w:t>
            </w:r>
          </w:p>
        </w:tc>
      </w:tr>
      <w:tr w:rsidR="000251CF" w:rsidRPr="000251CF" w14:paraId="288B353B" w14:textId="77777777" w:rsidTr="0088213C">
        <w:trPr>
          <w:trHeight w:val="247"/>
        </w:trPr>
        <w:tc>
          <w:tcPr>
            <w:tcW w:w="331" w:type="dxa"/>
            <w:tcBorders>
              <w:top w:val="nil"/>
              <w:left w:val="nil"/>
              <w:bottom w:val="nil"/>
              <w:right w:val="nil"/>
            </w:tcBorders>
          </w:tcPr>
          <w:p w14:paraId="2428835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4144577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GST collected</w:t>
            </w:r>
          </w:p>
        </w:tc>
        <w:tc>
          <w:tcPr>
            <w:tcW w:w="632" w:type="dxa"/>
            <w:tcBorders>
              <w:top w:val="nil"/>
              <w:left w:val="nil"/>
              <w:bottom w:val="nil"/>
              <w:right w:val="nil"/>
            </w:tcBorders>
          </w:tcPr>
          <w:p w14:paraId="75DCFB9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9AC13D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981E61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535,516</w:t>
            </w:r>
          </w:p>
        </w:tc>
        <w:tc>
          <w:tcPr>
            <w:tcW w:w="362" w:type="dxa"/>
            <w:tcBorders>
              <w:top w:val="nil"/>
              <w:left w:val="nil"/>
              <w:bottom w:val="nil"/>
              <w:right w:val="nil"/>
            </w:tcBorders>
          </w:tcPr>
          <w:p w14:paraId="2763CE2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3AE9706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1,199,047</w:t>
            </w:r>
          </w:p>
        </w:tc>
      </w:tr>
      <w:tr w:rsidR="000251CF" w:rsidRPr="000251CF" w14:paraId="60241E30" w14:textId="77777777" w:rsidTr="0088213C">
        <w:trPr>
          <w:trHeight w:val="247"/>
        </w:trPr>
        <w:tc>
          <w:tcPr>
            <w:tcW w:w="331" w:type="dxa"/>
            <w:tcBorders>
              <w:top w:val="nil"/>
              <w:left w:val="nil"/>
              <w:bottom w:val="nil"/>
              <w:right w:val="nil"/>
            </w:tcBorders>
          </w:tcPr>
          <w:p w14:paraId="7F85E94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4F53489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GST input tax credits from ATO</w:t>
            </w:r>
          </w:p>
        </w:tc>
        <w:tc>
          <w:tcPr>
            <w:tcW w:w="632" w:type="dxa"/>
            <w:tcBorders>
              <w:top w:val="nil"/>
              <w:left w:val="nil"/>
              <w:bottom w:val="nil"/>
              <w:right w:val="nil"/>
            </w:tcBorders>
          </w:tcPr>
          <w:p w14:paraId="4915D11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6503CE6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E11235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430,445</w:t>
            </w:r>
          </w:p>
        </w:tc>
        <w:tc>
          <w:tcPr>
            <w:tcW w:w="362" w:type="dxa"/>
            <w:tcBorders>
              <w:top w:val="nil"/>
              <w:left w:val="nil"/>
              <w:bottom w:val="nil"/>
              <w:right w:val="nil"/>
            </w:tcBorders>
          </w:tcPr>
          <w:p w14:paraId="5285EB7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76A62D4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667,241</w:t>
            </w:r>
          </w:p>
        </w:tc>
      </w:tr>
      <w:tr w:rsidR="000251CF" w:rsidRPr="000251CF" w14:paraId="5D4CE299" w14:textId="77777777" w:rsidTr="0088213C">
        <w:trPr>
          <w:trHeight w:val="247"/>
        </w:trPr>
        <w:tc>
          <w:tcPr>
            <w:tcW w:w="331" w:type="dxa"/>
            <w:tcBorders>
              <w:top w:val="nil"/>
              <w:left w:val="nil"/>
              <w:bottom w:val="nil"/>
              <w:right w:val="nil"/>
            </w:tcBorders>
          </w:tcPr>
          <w:p w14:paraId="64A6FB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4519" w:type="dxa"/>
            <w:tcBorders>
              <w:top w:val="nil"/>
              <w:left w:val="nil"/>
              <w:bottom w:val="nil"/>
              <w:right w:val="nil"/>
            </w:tcBorders>
          </w:tcPr>
          <w:p w14:paraId="74FE716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632" w:type="dxa"/>
            <w:tcBorders>
              <w:top w:val="nil"/>
              <w:left w:val="nil"/>
              <w:bottom w:val="nil"/>
              <w:right w:val="nil"/>
            </w:tcBorders>
          </w:tcPr>
          <w:p w14:paraId="6051023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1ECDC4D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6" w:type="dxa"/>
            <w:tcBorders>
              <w:top w:val="nil"/>
              <w:left w:val="nil"/>
              <w:bottom w:val="nil"/>
              <w:right w:val="nil"/>
            </w:tcBorders>
          </w:tcPr>
          <w:p w14:paraId="5704C73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11,273,410</w:t>
            </w:r>
          </w:p>
        </w:tc>
        <w:tc>
          <w:tcPr>
            <w:tcW w:w="362" w:type="dxa"/>
            <w:tcBorders>
              <w:top w:val="nil"/>
              <w:left w:val="nil"/>
              <w:bottom w:val="nil"/>
              <w:right w:val="nil"/>
            </w:tcBorders>
          </w:tcPr>
          <w:p w14:paraId="6D5C614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nil"/>
              <w:left w:val="nil"/>
              <w:bottom w:val="nil"/>
              <w:right w:val="nil"/>
            </w:tcBorders>
          </w:tcPr>
          <w:p w14:paraId="0C0CACC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19,392,685</w:t>
            </w:r>
          </w:p>
        </w:tc>
      </w:tr>
      <w:tr w:rsidR="000251CF" w:rsidRPr="000251CF" w14:paraId="767EAD6B" w14:textId="77777777" w:rsidTr="0088213C">
        <w:trPr>
          <w:trHeight w:val="247"/>
        </w:trPr>
        <w:tc>
          <w:tcPr>
            <w:tcW w:w="331" w:type="dxa"/>
            <w:tcBorders>
              <w:top w:val="nil"/>
              <w:left w:val="nil"/>
              <w:bottom w:val="nil"/>
              <w:right w:val="nil"/>
            </w:tcBorders>
          </w:tcPr>
          <w:p w14:paraId="699DEA0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6A284F0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276CD81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15AB0A0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DAC8B4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3F69043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3AD41D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41BEFFFF" w14:textId="77777777" w:rsidTr="0088213C">
        <w:trPr>
          <w:trHeight w:val="247"/>
        </w:trPr>
        <w:tc>
          <w:tcPr>
            <w:tcW w:w="331" w:type="dxa"/>
            <w:tcBorders>
              <w:top w:val="nil"/>
              <w:left w:val="nil"/>
              <w:bottom w:val="nil"/>
              <w:right w:val="nil"/>
            </w:tcBorders>
          </w:tcPr>
          <w:p w14:paraId="74CFE41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666E613B" w14:textId="77777777" w:rsidR="000251CF" w:rsidRPr="000251CF" w:rsidRDefault="000251CF" w:rsidP="000251CF">
            <w:pPr>
              <w:autoSpaceDE w:val="0"/>
              <w:autoSpaceDN w:val="0"/>
              <w:adjustRightInd w:val="0"/>
              <w:spacing w:before="0" w:after="0" w:line="240" w:lineRule="auto"/>
              <w:rPr>
                <w:rFonts w:ascii="Tahoma" w:eastAsia="Times New Roman" w:hAnsi="Tahoma" w:cs="Tahoma"/>
                <w:i/>
                <w:iCs/>
                <w:color w:val="000000"/>
                <w:sz w:val="16"/>
                <w:szCs w:val="16"/>
              </w:rPr>
            </w:pPr>
            <w:r w:rsidRPr="000251CF">
              <w:rPr>
                <w:rFonts w:ascii="Tahoma" w:eastAsia="Times New Roman" w:hAnsi="Tahoma" w:cs="Tahoma"/>
                <w:i/>
                <w:iCs/>
                <w:color w:val="000000"/>
                <w:sz w:val="16"/>
                <w:szCs w:val="16"/>
              </w:rPr>
              <w:t>Outflows:</w:t>
            </w:r>
          </w:p>
        </w:tc>
        <w:tc>
          <w:tcPr>
            <w:tcW w:w="632" w:type="dxa"/>
            <w:tcBorders>
              <w:top w:val="nil"/>
              <w:left w:val="nil"/>
              <w:bottom w:val="nil"/>
              <w:right w:val="nil"/>
            </w:tcBorders>
          </w:tcPr>
          <w:p w14:paraId="3394FFA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7620A71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DB7467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5B17421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264F0D5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6F7C0E40" w14:textId="77777777" w:rsidTr="0088213C">
        <w:trPr>
          <w:trHeight w:val="247"/>
        </w:trPr>
        <w:tc>
          <w:tcPr>
            <w:tcW w:w="331" w:type="dxa"/>
            <w:tcBorders>
              <w:top w:val="nil"/>
              <w:left w:val="nil"/>
              <w:bottom w:val="nil"/>
              <w:right w:val="nil"/>
            </w:tcBorders>
          </w:tcPr>
          <w:p w14:paraId="576FA11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7084E0A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Members' Expenses</w:t>
            </w:r>
          </w:p>
        </w:tc>
        <w:tc>
          <w:tcPr>
            <w:tcW w:w="632" w:type="dxa"/>
            <w:tcBorders>
              <w:top w:val="nil"/>
              <w:left w:val="nil"/>
              <w:bottom w:val="nil"/>
              <w:right w:val="nil"/>
            </w:tcBorders>
          </w:tcPr>
          <w:p w14:paraId="34AC327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D184B4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380DCD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(419,607)</w:t>
            </w:r>
          </w:p>
        </w:tc>
        <w:tc>
          <w:tcPr>
            <w:tcW w:w="362" w:type="dxa"/>
            <w:tcBorders>
              <w:top w:val="nil"/>
              <w:left w:val="nil"/>
              <w:bottom w:val="nil"/>
              <w:right w:val="nil"/>
            </w:tcBorders>
          </w:tcPr>
          <w:p w14:paraId="04A0ACE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2314C95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(439,549)</w:t>
            </w:r>
          </w:p>
        </w:tc>
      </w:tr>
      <w:tr w:rsidR="000251CF" w:rsidRPr="000251CF" w14:paraId="213FAD96" w14:textId="77777777" w:rsidTr="0088213C">
        <w:trPr>
          <w:trHeight w:val="247"/>
        </w:trPr>
        <w:tc>
          <w:tcPr>
            <w:tcW w:w="331" w:type="dxa"/>
            <w:tcBorders>
              <w:top w:val="nil"/>
              <w:left w:val="nil"/>
              <w:bottom w:val="nil"/>
              <w:right w:val="nil"/>
            </w:tcBorders>
          </w:tcPr>
          <w:p w14:paraId="053BA7B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5C9CB6E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Employee Expenses</w:t>
            </w:r>
          </w:p>
        </w:tc>
        <w:tc>
          <w:tcPr>
            <w:tcW w:w="632" w:type="dxa"/>
            <w:tcBorders>
              <w:top w:val="nil"/>
              <w:left w:val="nil"/>
              <w:bottom w:val="nil"/>
              <w:right w:val="nil"/>
            </w:tcBorders>
          </w:tcPr>
          <w:p w14:paraId="0322471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50EF30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398E6F6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(7,471,190)</w:t>
            </w:r>
          </w:p>
        </w:tc>
        <w:tc>
          <w:tcPr>
            <w:tcW w:w="362" w:type="dxa"/>
            <w:tcBorders>
              <w:top w:val="nil"/>
              <w:left w:val="nil"/>
              <w:bottom w:val="nil"/>
              <w:right w:val="nil"/>
            </w:tcBorders>
          </w:tcPr>
          <w:p w14:paraId="28545F5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47DA6A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(8,400,403)</w:t>
            </w:r>
          </w:p>
        </w:tc>
      </w:tr>
      <w:tr w:rsidR="000251CF" w:rsidRPr="000251CF" w14:paraId="2EC85DEA" w14:textId="77777777" w:rsidTr="0088213C">
        <w:trPr>
          <w:trHeight w:val="247"/>
        </w:trPr>
        <w:tc>
          <w:tcPr>
            <w:tcW w:w="331" w:type="dxa"/>
            <w:tcBorders>
              <w:top w:val="nil"/>
              <w:left w:val="nil"/>
              <w:bottom w:val="nil"/>
              <w:right w:val="nil"/>
            </w:tcBorders>
          </w:tcPr>
          <w:p w14:paraId="22F3240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64BA779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Supplies and services</w:t>
            </w:r>
          </w:p>
        </w:tc>
        <w:tc>
          <w:tcPr>
            <w:tcW w:w="632" w:type="dxa"/>
            <w:tcBorders>
              <w:top w:val="nil"/>
              <w:left w:val="nil"/>
              <w:bottom w:val="nil"/>
              <w:right w:val="nil"/>
            </w:tcBorders>
          </w:tcPr>
          <w:p w14:paraId="608A9B2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06FAD1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751325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(2,971,309)</w:t>
            </w:r>
          </w:p>
        </w:tc>
        <w:tc>
          <w:tcPr>
            <w:tcW w:w="362" w:type="dxa"/>
            <w:tcBorders>
              <w:top w:val="nil"/>
              <w:left w:val="nil"/>
              <w:bottom w:val="nil"/>
              <w:right w:val="nil"/>
            </w:tcBorders>
          </w:tcPr>
          <w:p w14:paraId="2104F04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5583726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(5,609,977)</w:t>
            </w:r>
          </w:p>
        </w:tc>
      </w:tr>
      <w:tr w:rsidR="000251CF" w:rsidRPr="000251CF" w14:paraId="1C22C548" w14:textId="77777777" w:rsidTr="0088213C">
        <w:trPr>
          <w:trHeight w:val="247"/>
        </w:trPr>
        <w:tc>
          <w:tcPr>
            <w:tcW w:w="331" w:type="dxa"/>
            <w:tcBorders>
              <w:top w:val="nil"/>
              <w:left w:val="nil"/>
              <w:bottom w:val="nil"/>
              <w:right w:val="nil"/>
            </w:tcBorders>
          </w:tcPr>
          <w:p w14:paraId="57C7AFF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2B5E43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Borrowing costs</w:t>
            </w:r>
          </w:p>
        </w:tc>
        <w:tc>
          <w:tcPr>
            <w:tcW w:w="632" w:type="dxa"/>
            <w:tcBorders>
              <w:top w:val="nil"/>
              <w:left w:val="nil"/>
              <w:bottom w:val="nil"/>
              <w:right w:val="nil"/>
            </w:tcBorders>
          </w:tcPr>
          <w:p w14:paraId="370174F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DEFFC4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0AAEB2A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(91,247)</w:t>
            </w:r>
          </w:p>
        </w:tc>
        <w:tc>
          <w:tcPr>
            <w:tcW w:w="362" w:type="dxa"/>
            <w:tcBorders>
              <w:top w:val="nil"/>
              <w:left w:val="nil"/>
              <w:bottom w:val="nil"/>
              <w:right w:val="nil"/>
            </w:tcBorders>
          </w:tcPr>
          <w:p w14:paraId="6B0939C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5BF9E0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(132,770)</w:t>
            </w:r>
          </w:p>
        </w:tc>
      </w:tr>
      <w:tr w:rsidR="000251CF" w:rsidRPr="000251CF" w14:paraId="14B6E24E" w14:textId="77777777" w:rsidTr="0088213C">
        <w:trPr>
          <w:trHeight w:val="247"/>
        </w:trPr>
        <w:tc>
          <w:tcPr>
            <w:tcW w:w="331" w:type="dxa"/>
            <w:tcBorders>
              <w:top w:val="nil"/>
              <w:left w:val="nil"/>
              <w:bottom w:val="nil"/>
              <w:right w:val="nil"/>
            </w:tcBorders>
          </w:tcPr>
          <w:p w14:paraId="7CF72A4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311DDEC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GST paid to Suppliers</w:t>
            </w:r>
          </w:p>
        </w:tc>
        <w:tc>
          <w:tcPr>
            <w:tcW w:w="632" w:type="dxa"/>
            <w:tcBorders>
              <w:top w:val="nil"/>
              <w:left w:val="nil"/>
              <w:bottom w:val="nil"/>
              <w:right w:val="nil"/>
            </w:tcBorders>
          </w:tcPr>
          <w:p w14:paraId="61F945C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2F78F7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E47480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(424,116)</w:t>
            </w:r>
          </w:p>
        </w:tc>
        <w:tc>
          <w:tcPr>
            <w:tcW w:w="362" w:type="dxa"/>
            <w:tcBorders>
              <w:top w:val="nil"/>
              <w:left w:val="nil"/>
              <w:bottom w:val="nil"/>
              <w:right w:val="nil"/>
            </w:tcBorders>
          </w:tcPr>
          <w:p w14:paraId="6FA239A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3D8AE66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(653,745)</w:t>
            </w:r>
          </w:p>
        </w:tc>
      </w:tr>
      <w:tr w:rsidR="000251CF" w:rsidRPr="000251CF" w14:paraId="63480C64" w14:textId="77777777" w:rsidTr="0088213C">
        <w:trPr>
          <w:trHeight w:val="247"/>
        </w:trPr>
        <w:tc>
          <w:tcPr>
            <w:tcW w:w="331" w:type="dxa"/>
            <w:tcBorders>
              <w:top w:val="nil"/>
              <w:left w:val="nil"/>
              <w:bottom w:val="nil"/>
              <w:right w:val="nil"/>
            </w:tcBorders>
          </w:tcPr>
          <w:p w14:paraId="471483B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4519" w:type="dxa"/>
            <w:tcBorders>
              <w:top w:val="nil"/>
              <w:left w:val="nil"/>
              <w:bottom w:val="nil"/>
              <w:right w:val="nil"/>
            </w:tcBorders>
          </w:tcPr>
          <w:p w14:paraId="790E7C0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GST remitted to ATO</w:t>
            </w:r>
          </w:p>
        </w:tc>
        <w:tc>
          <w:tcPr>
            <w:tcW w:w="632" w:type="dxa"/>
            <w:tcBorders>
              <w:top w:val="nil"/>
              <w:left w:val="nil"/>
              <w:bottom w:val="nil"/>
              <w:right w:val="nil"/>
            </w:tcBorders>
          </w:tcPr>
          <w:p w14:paraId="3BB8928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2DAF0A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4502B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(521,641)</w:t>
            </w:r>
          </w:p>
        </w:tc>
        <w:tc>
          <w:tcPr>
            <w:tcW w:w="362" w:type="dxa"/>
            <w:tcBorders>
              <w:top w:val="nil"/>
              <w:left w:val="nil"/>
              <w:bottom w:val="nil"/>
              <w:right w:val="nil"/>
            </w:tcBorders>
          </w:tcPr>
          <w:p w14:paraId="62A7D42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5B839DC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(1,199,317)</w:t>
            </w:r>
          </w:p>
        </w:tc>
      </w:tr>
      <w:tr w:rsidR="000251CF" w:rsidRPr="000251CF" w14:paraId="00822E4E" w14:textId="77777777" w:rsidTr="0088213C">
        <w:trPr>
          <w:trHeight w:val="247"/>
        </w:trPr>
        <w:tc>
          <w:tcPr>
            <w:tcW w:w="331" w:type="dxa"/>
            <w:tcBorders>
              <w:top w:val="nil"/>
              <w:left w:val="nil"/>
              <w:bottom w:val="nil"/>
              <w:right w:val="nil"/>
            </w:tcBorders>
          </w:tcPr>
          <w:p w14:paraId="5E104E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4519" w:type="dxa"/>
            <w:tcBorders>
              <w:top w:val="nil"/>
              <w:left w:val="nil"/>
              <w:bottom w:val="nil"/>
              <w:right w:val="nil"/>
            </w:tcBorders>
          </w:tcPr>
          <w:p w14:paraId="32975CC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632" w:type="dxa"/>
            <w:tcBorders>
              <w:top w:val="nil"/>
              <w:left w:val="nil"/>
              <w:bottom w:val="nil"/>
              <w:right w:val="nil"/>
            </w:tcBorders>
          </w:tcPr>
          <w:p w14:paraId="73CFCCA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05EA4A7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6" w:type="dxa"/>
            <w:tcBorders>
              <w:top w:val="nil"/>
              <w:left w:val="nil"/>
              <w:bottom w:val="nil"/>
              <w:right w:val="nil"/>
            </w:tcBorders>
          </w:tcPr>
          <w:p w14:paraId="08380C4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(11,899,110)</w:t>
            </w:r>
          </w:p>
        </w:tc>
        <w:tc>
          <w:tcPr>
            <w:tcW w:w="362" w:type="dxa"/>
            <w:tcBorders>
              <w:top w:val="nil"/>
              <w:left w:val="nil"/>
              <w:bottom w:val="nil"/>
              <w:right w:val="nil"/>
            </w:tcBorders>
          </w:tcPr>
          <w:p w14:paraId="693ADC9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nil"/>
              <w:left w:val="nil"/>
              <w:bottom w:val="nil"/>
              <w:right w:val="nil"/>
            </w:tcBorders>
          </w:tcPr>
          <w:p w14:paraId="122DC24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(16,435,760)</w:t>
            </w:r>
          </w:p>
        </w:tc>
      </w:tr>
      <w:tr w:rsidR="000251CF" w:rsidRPr="000251CF" w14:paraId="2C3CC071" w14:textId="77777777" w:rsidTr="0088213C">
        <w:trPr>
          <w:trHeight w:val="247"/>
        </w:trPr>
        <w:tc>
          <w:tcPr>
            <w:tcW w:w="331" w:type="dxa"/>
            <w:tcBorders>
              <w:top w:val="nil"/>
              <w:left w:val="nil"/>
              <w:bottom w:val="nil"/>
              <w:right w:val="nil"/>
            </w:tcBorders>
          </w:tcPr>
          <w:p w14:paraId="1D370F0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644824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632" w:type="dxa"/>
            <w:tcBorders>
              <w:top w:val="nil"/>
              <w:left w:val="nil"/>
              <w:bottom w:val="nil"/>
              <w:right w:val="nil"/>
            </w:tcBorders>
          </w:tcPr>
          <w:p w14:paraId="3EBADC6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i/>
                <w:iCs/>
                <w:color w:val="000000"/>
                <w:sz w:val="16"/>
                <w:szCs w:val="16"/>
              </w:rPr>
            </w:pPr>
          </w:p>
        </w:tc>
        <w:tc>
          <w:tcPr>
            <w:tcW w:w="362" w:type="dxa"/>
            <w:tcBorders>
              <w:top w:val="nil"/>
              <w:left w:val="nil"/>
              <w:bottom w:val="nil"/>
              <w:right w:val="nil"/>
            </w:tcBorders>
          </w:tcPr>
          <w:p w14:paraId="21A75BA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i/>
                <w:iCs/>
                <w:color w:val="000000"/>
                <w:sz w:val="16"/>
                <w:szCs w:val="16"/>
              </w:rPr>
            </w:pPr>
          </w:p>
        </w:tc>
        <w:tc>
          <w:tcPr>
            <w:tcW w:w="1416" w:type="dxa"/>
            <w:tcBorders>
              <w:top w:val="nil"/>
              <w:left w:val="nil"/>
              <w:bottom w:val="nil"/>
              <w:right w:val="nil"/>
            </w:tcBorders>
          </w:tcPr>
          <w:p w14:paraId="2C73DA8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362" w:type="dxa"/>
            <w:tcBorders>
              <w:top w:val="nil"/>
              <w:left w:val="nil"/>
              <w:bottom w:val="nil"/>
              <w:right w:val="nil"/>
            </w:tcBorders>
          </w:tcPr>
          <w:p w14:paraId="7393441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1339" w:type="dxa"/>
            <w:tcBorders>
              <w:top w:val="nil"/>
              <w:left w:val="nil"/>
              <w:bottom w:val="nil"/>
              <w:right w:val="nil"/>
            </w:tcBorders>
          </w:tcPr>
          <w:p w14:paraId="73A8C2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r>
      <w:tr w:rsidR="000251CF" w:rsidRPr="000251CF" w14:paraId="6D849906" w14:textId="77777777" w:rsidTr="0088213C">
        <w:trPr>
          <w:trHeight w:val="247"/>
        </w:trPr>
        <w:tc>
          <w:tcPr>
            <w:tcW w:w="331" w:type="dxa"/>
            <w:tcBorders>
              <w:top w:val="nil"/>
              <w:left w:val="nil"/>
              <w:bottom w:val="nil"/>
              <w:right w:val="nil"/>
            </w:tcBorders>
          </w:tcPr>
          <w:p w14:paraId="31AF767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3360445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Net cash provided by / (used in) operating activities</w:t>
            </w:r>
          </w:p>
        </w:tc>
        <w:tc>
          <w:tcPr>
            <w:tcW w:w="632" w:type="dxa"/>
            <w:tcBorders>
              <w:top w:val="nil"/>
              <w:left w:val="nil"/>
              <w:bottom w:val="nil"/>
              <w:right w:val="nil"/>
            </w:tcBorders>
          </w:tcPr>
          <w:p w14:paraId="0F299AC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A23F62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single" w:sz="6" w:space="0" w:color="auto"/>
              <w:left w:val="nil"/>
              <w:bottom w:val="single" w:sz="6" w:space="0" w:color="auto"/>
              <w:right w:val="nil"/>
            </w:tcBorders>
          </w:tcPr>
          <w:p w14:paraId="60A7D81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(625,700)</w:t>
            </w:r>
          </w:p>
        </w:tc>
        <w:tc>
          <w:tcPr>
            <w:tcW w:w="362" w:type="dxa"/>
            <w:tcBorders>
              <w:top w:val="nil"/>
              <w:left w:val="nil"/>
              <w:bottom w:val="nil"/>
              <w:right w:val="nil"/>
            </w:tcBorders>
          </w:tcPr>
          <w:p w14:paraId="2218D51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single" w:sz="6" w:space="0" w:color="auto"/>
              <w:left w:val="nil"/>
              <w:bottom w:val="single" w:sz="6" w:space="0" w:color="auto"/>
              <w:right w:val="nil"/>
            </w:tcBorders>
          </w:tcPr>
          <w:p w14:paraId="2DB4008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2,956,925</w:t>
            </w:r>
          </w:p>
        </w:tc>
      </w:tr>
      <w:tr w:rsidR="000251CF" w:rsidRPr="000251CF" w14:paraId="55BD40FE" w14:textId="77777777" w:rsidTr="0088213C">
        <w:trPr>
          <w:trHeight w:val="247"/>
        </w:trPr>
        <w:tc>
          <w:tcPr>
            <w:tcW w:w="331" w:type="dxa"/>
            <w:tcBorders>
              <w:top w:val="nil"/>
              <w:left w:val="nil"/>
              <w:bottom w:val="nil"/>
              <w:right w:val="nil"/>
            </w:tcBorders>
          </w:tcPr>
          <w:p w14:paraId="12EF698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05B10F2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749E34B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74590E2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7808E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39DAAA5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14C49C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A829D77" w14:textId="77777777" w:rsidTr="0088213C">
        <w:trPr>
          <w:trHeight w:val="247"/>
        </w:trPr>
        <w:tc>
          <w:tcPr>
            <w:tcW w:w="4850" w:type="dxa"/>
            <w:gridSpan w:val="2"/>
            <w:tcBorders>
              <w:top w:val="nil"/>
              <w:left w:val="nil"/>
              <w:bottom w:val="nil"/>
              <w:right w:val="nil"/>
            </w:tcBorders>
          </w:tcPr>
          <w:p w14:paraId="58733DAB"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Cash flows from investing activities</w:t>
            </w:r>
          </w:p>
        </w:tc>
        <w:tc>
          <w:tcPr>
            <w:tcW w:w="632" w:type="dxa"/>
            <w:tcBorders>
              <w:top w:val="nil"/>
              <w:left w:val="nil"/>
              <w:bottom w:val="nil"/>
              <w:right w:val="nil"/>
            </w:tcBorders>
          </w:tcPr>
          <w:p w14:paraId="5811AA7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8C4FC1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78087B1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7866EE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1FDF747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68E17DFC" w14:textId="77777777" w:rsidTr="0088213C">
        <w:trPr>
          <w:trHeight w:val="247"/>
        </w:trPr>
        <w:tc>
          <w:tcPr>
            <w:tcW w:w="331" w:type="dxa"/>
            <w:tcBorders>
              <w:top w:val="nil"/>
              <w:left w:val="nil"/>
              <w:bottom w:val="nil"/>
              <w:right w:val="nil"/>
            </w:tcBorders>
          </w:tcPr>
          <w:p w14:paraId="5FDFC19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6126BCA" w14:textId="77777777" w:rsidR="000251CF" w:rsidRPr="000251CF" w:rsidRDefault="000251CF" w:rsidP="000251CF">
            <w:pPr>
              <w:autoSpaceDE w:val="0"/>
              <w:autoSpaceDN w:val="0"/>
              <w:adjustRightInd w:val="0"/>
              <w:spacing w:before="0" w:after="0" w:line="240" w:lineRule="auto"/>
              <w:rPr>
                <w:rFonts w:ascii="Tahoma" w:eastAsia="Times New Roman" w:hAnsi="Tahoma" w:cs="Tahoma"/>
                <w:i/>
                <w:iCs/>
                <w:color w:val="000000"/>
                <w:sz w:val="16"/>
                <w:szCs w:val="16"/>
              </w:rPr>
            </w:pPr>
            <w:r w:rsidRPr="000251CF">
              <w:rPr>
                <w:rFonts w:ascii="Tahoma" w:eastAsia="Times New Roman" w:hAnsi="Tahoma" w:cs="Tahoma"/>
                <w:i/>
                <w:iCs/>
                <w:color w:val="000000"/>
                <w:sz w:val="16"/>
                <w:szCs w:val="16"/>
              </w:rPr>
              <w:t>Outflows:</w:t>
            </w:r>
          </w:p>
        </w:tc>
        <w:tc>
          <w:tcPr>
            <w:tcW w:w="632" w:type="dxa"/>
            <w:tcBorders>
              <w:top w:val="nil"/>
              <w:left w:val="nil"/>
              <w:bottom w:val="nil"/>
              <w:right w:val="nil"/>
            </w:tcBorders>
          </w:tcPr>
          <w:p w14:paraId="2BBDE51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2F0BADB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6E13AB4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039DC6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56DFF5B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413F3E1F" w14:textId="77777777" w:rsidTr="0088213C">
        <w:trPr>
          <w:trHeight w:val="247"/>
        </w:trPr>
        <w:tc>
          <w:tcPr>
            <w:tcW w:w="331" w:type="dxa"/>
            <w:tcBorders>
              <w:top w:val="nil"/>
              <w:left w:val="nil"/>
              <w:bottom w:val="nil"/>
              <w:right w:val="nil"/>
            </w:tcBorders>
          </w:tcPr>
          <w:p w14:paraId="2DAB21F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1942A60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Payments for Plant and Equipment</w:t>
            </w:r>
          </w:p>
        </w:tc>
        <w:tc>
          <w:tcPr>
            <w:tcW w:w="632" w:type="dxa"/>
            <w:tcBorders>
              <w:top w:val="nil"/>
              <w:left w:val="nil"/>
              <w:bottom w:val="nil"/>
              <w:right w:val="nil"/>
            </w:tcBorders>
          </w:tcPr>
          <w:p w14:paraId="2CE8DF5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7CCDFE2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059BF2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(10,204)</w:t>
            </w:r>
          </w:p>
        </w:tc>
        <w:tc>
          <w:tcPr>
            <w:tcW w:w="362" w:type="dxa"/>
            <w:tcBorders>
              <w:top w:val="nil"/>
              <w:left w:val="nil"/>
              <w:bottom w:val="nil"/>
              <w:right w:val="nil"/>
            </w:tcBorders>
          </w:tcPr>
          <w:p w14:paraId="4AABC04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39FD30A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r>
      <w:tr w:rsidR="000251CF" w:rsidRPr="000251CF" w14:paraId="75BDE688" w14:textId="77777777" w:rsidTr="0088213C">
        <w:trPr>
          <w:trHeight w:val="247"/>
        </w:trPr>
        <w:tc>
          <w:tcPr>
            <w:tcW w:w="331" w:type="dxa"/>
            <w:tcBorders>
              <w:top w:val="nil"/>
              <w:left w:val="nil"/>
              <w:bottom w:val="nil"/>
              <w:right w:val="nil"/>
            </w:tcBorders>
          </w:tcPr>
          <w:p w14:paraId="323EF67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3483015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20D7179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76B18D9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490E1F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1539CF5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65D349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30E3EAEA" w14:textId="77777777" w:rsidTr="0088213C">
        <w:trPr>
          <w:trHeight w:val="247"/>
        </w:trPr>
        <w:tc>
          <w:tcPr>
            <w:tcW w:w="331" w:type="dxa"/>
            <w:tcBorders>
              <w:top w:val="nil"/>
              <w:left w:val="nil"/>
              <w:bottom w:val="nil"/>
              <w:right w:val="nil"/>
            </w:tcBorders>
          </w:tcPr>
          <w:p w14:paraId="1141DF3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71C81AB"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Net cash provided by / (used in) investing activities</w:t>
            </w:r>
          </w:p>
        </w:tc>
        <w:tc>
          <w:tcPr>
            <w:tcW w:w="632" w:type="dxa"/>
            <w:tcBorders>
              <w:top w:val="nil"/>
              <w:left w:val="nil"/>
              <w:bottom w:val="nil"/>
              <w:right w:val="nil"/>
            </w:tcBorders>
          </w:tcPr>
          <w:p w14:paraId="0BA7444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2AF42D3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single" w:sz="6" w:space="0" w:color="auto"/>
              <w:left w:val="nil"/>
              <w:bottom w:val="single" w:sz="6" w:space="0" w:color="auto"/>
              <w:right w:val="nil"/>
            </w:tcBorders>
          </w:tcPr>
          <w:p w14:paraId="7478733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(10,204)</w:t>
            </w:r>
          </w:p>
        </w:tc>
        <w:tc>
          <w:tcPr>
            <w:tcW w:w="362" w:type="dxa"/>
            <w:tcBorders>
              <w:top w:val="nil"/>
              <w:left w:val="nil"/>
              <w:bottom w:val="nil"/>
              <w:right w:val="nil"/>
            </w:tcBorders>
          </w:tcPr>
          <w:p w14:paraId="4BEA1BE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single" w:sz="6" w:space="0" w:color="auto"/>
              <w:left w:val="nil"/>
              <w:bottom w:val="single" w:sz="6" w:space="0" w:color="auto"/>
              <w:right w:val="nil"/>
            </w:tcBorders>
          </w:tcPr>
          <w:p w14:paraId="6F3DCC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382A8D49" w14:textId="77777777" w:rsidTr="0088213C">
        <w:trPr>
          <w:trHeight w:val="247"/>
        </w:trPr>
        <w:tc>
          <w:tcPr>
            <w:tcW w:w="331" w:type="dxa"/>
            <w:tcBorders>
              <w:top w:val="nil"/>
              <w:left w:val="nil"/>
              <w:bottom w:val="nil"/>
              <w:right w:val="nil"/>
            </w:tcBorders>
          </w:tcPr>
          <w:p w14:paraId="32B7E9D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549317A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2A002CA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63BCDBB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F46541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281521A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4DB8734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17D4E5DD" w14:textId="77777777" w:rsidTr="0088213C">
        <w:trPr>
          <w:trHeight w:val="247"/>
        </w:trPr>
        <w:tc>
          <w:tcPr>
            <w:tcW w:w="4850" w:type="dxa"/>
            <w:gridSpan w:val="2"/>
            <w:tcBorders>
              <w:top w:val="nil"/>
              <w:left w:val="nil"/>
              <w:bottom w:val="nil"/>
              <w:right w:val="nil"/>
            </w:tcBorders>
          </w:tcPr>
          <w:p w14:paraId="537AE8F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Cash flows from Financing activities</w:t>
            </w:r>
          </w:p>
        </w:tc>
        <w:tc>
          <w:tcPr>
            <w:tcW w:w="632" w:type="dxa"/>
            <w:tcBorders>
              <w:top w:val="nil"/>
              <w:left w:val="nil"/>
              <w:bottom w:val="nil"/>
              <w:right w:val="nil"/>
            </w:tcBorders>
          </w:tcPr>
          <w:p w14:paraId="2D48DF9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FB7829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E19E50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6273EEE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14A1A21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305328B7" w14:textId="77777777" w:rsidTr="0088213C">
        <w:trPr>
          <w:trHeight w:val="247"/>
        </w:trPr>
        <w:tc>
          <w:tcPr>
            <w:tcW w:w="331" w:type="dxa"/>
            <w:tcBorders>
              <w:top w:val="nil"/>
              <w:left w:val="nil"/>
              <w:bottom w:val="nil"/>
              <w:right w:val="nil"/>
            </w:tcBorders>
          </w:tcPr>
          <w:p w14:paraId="5D83130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087D8874" w14:textId="77777777" w:rsidR="000251CF" w:rsidRPr="000251CF" w:rsidRDefault="000251CF" w:rsidP="000251CF">
            <w:pPr>
              <w:autoSpaceDE w:val="0"/>
              <w:autoSpaceDN w:val="0"/>
              <w:adjustRightInd w:val="0"/>
              <w:spacing w:before="0" w:after="0" w:line="240" w:lineRule="auto"/>
              <w:rPr>
                <w:rFonts w:ascii="Tahoma" w:eastAsia="Times New Roman" w:hAnsi="Tahoma" w:cs="Tahoma"/>
                <w:i/>
                <w:iCs/>
                <w:color w:val="000000"/>
                <w:sz w:val="16"/>
                <w:szCs w:val="16"/>
              </w:rPr>
            </w:pPr>
            <w:r w:rsidRPr="000251CF">
              <w:rPr>
                <w:rFonts w:ascii="Tahoma" w:eastAsia="Times New Roman" w:hAnsi="Tahoma" w:cs="Tahoma"/>
                <w:i/>
                <w:iCs/>
                <w:color w:val="000000"/>
                <w:sz w:val="16"/>
                <w:szCs w:val="16"/>
              </w:rPr>
              <w:t>Outflows:</w:t>
            </w:r>
          </w:p>
        </w:tc>
        <w:tc>
          <w:tcPr>
            <w:tcW w:w="632" w:type="dxa"/>
            <w:tcBorders>
              <w:top w:val="nil"/>
              <w:left w:val="nil"/>
              <w:bottom w:val="nil"/>
              <w:right w:val="nil"/>
            </w:tcBorders>
          </w:tcPr>
          <w:p w14:paraId="52E8714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A4D9D6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4E9C93F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67E56E3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67C29E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0D0F9B61" w14:textId="77777777" w:rsidTr="0088213C">
        <w:trPr>
          <w:trHeight w:val="247"/>
        </w:trPr>
        <w:tc>
          <w:tcPr>
            <w:tcW w:w="331" w:type="dxa"/>
            <w:tcBorders>
              <w:top w:val="nil"/>
              <w:left w:val="nil"/>
              <w:bottom w:val="nil"/>
              <w:right w:val="nil"/>
            </w:tcBorders>
          </w:tcPr>
          <w:p w14:paraId="014DD33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1ABC90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Lease payments</w:t>
            </w:r>
          </w:p>
        </w:tc>
        <w:tc>
          <w:tcPr>
            <w:tcW w:w="632" w:type="dxa"/>
            <w:tcBorders>
              <w:top w:val="nil"/>
              <w:left w:val="nil"/>
              <w:bottom w:val="nil"/>
              <w:right w:val="nil"/>
            </w:tcBorders>
          </w:tcPr>
          <w:p w14:paraId="564CF82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14</w:t>
            </w:r>
          </w:p>
        </w:tc>
        <w:tc>
          <w:tcPr>
            <w:tcW w:w="362" w:type="dxa"/>
            <w:tcBorders>
              <w:top w:val="nil"/>
              <w:left w:val="nil"/>
              <w:bottom w:val="nil"/>
              <w:right w:val="nil"/>
            </w:tcBorders>
          </w:tcPr>
          <w:p w14:paraId="61D8BBE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2ACA8D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(2,197,690)</w:t>
            </w:r>
          </w:p>
        </w:tc>
        <w:tc>
          <w:tcPr>
            <w:tcW w:w="362" w:type="dxa"/>
            <w:tcBorders>
              <w:top w:val="nil"/>
              <w:left w:val="nil"/>
              <w:bottom w:val="nil"/>
              <w:right w:val="nil"/>
            </w:tcBorders>
          </w:tcPr>
          <w:p w14:paraId="44D519F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3E52E45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(2,062,854)</w:t>
            </w:r>
          </w:p>
        </w:tc>
      </w:tr>
      <w:tr w:rsidR="000251CF" w:rsidRPr="000251CF" w14:paraId="30DAA6DB" w14:textId="77777777" w:rsidTr="0088213C">
        <w:trPr>
          <w:trHeight w:val="247"/>
        </w:trPr>
        <w:tc>
          <w:tcPr>
            <w:tcW w:w="331" w:type="dxa"/>
            <w:tcBorders>
              <w:top w:val="nil"/>
              <w:left w:val="nil"/>
              <w:bottom w:val="nil"/>
              <w:right w:val="nil"/>
            </w:tcBorders>
          </w:tcPr>
          <w:p w14:paraId="2AC898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6C9606C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Transfer of funds to Queensland Treasury</w:t>
            </w:r>
          </w:p>
        </w:tc>
        <w:tc>
          <w:tcPr>
            <w:tcW w:w="632" w:type="dxa"/>
            <w:tcBorders>
              <w:top w:val="nil"/>
              <w:left w:val="nil"/>
              <w:bottom w:val="nil"/>
              <w:right w:val="nil"/>
            </w:tcBorders>
          </w:tcPr>
          <w:p w14:paraId="528EE9A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19</w:t>
            </w:r>
          </w:p>
        </w:tc>
        <w:tc>
          <w:tcPr>
            <w:tcW w:w="362" w:type="dxa"/>
            <w:tcBorders>
              <w:top w:val="nil"/>
              <w:left w:val="nil"/>
              <w:bottom w:val="nil"/>
              <w:right w:val="nil"/>
            </w:tcBorders>
          </w:tcPr>
          <w:p w14:paraId="4FA6216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335C4A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362" w:type="dxa"/>
            <w:tcBorders>
              <w:top w:val="nil"/>
              <w:left w:val="nil"/>
              <w:bottom w:val="nil"/>
              <w:right w:val="nil"/>
            </w:tcBorders>
          </w:tcPr>
          <w:p w14:paraId="76A9BC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689ED83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(4,500,000)</w:t>
            </w:r>
          </w:p>
        </w:tc>
      </w:tr>
      <w:tr w:rsidR="000251CF" w:rsidRPr="000251CF" w14:paraId="0D983E9D" w14:textId="77777777" w:rsidTr="0088213C">
        <w:trPr>
          <w:trHeight w:val="247"/>
        </w:trPr>
        <w:tc>
          <w:tcPr>
            <w:tcW w:w="331" w:type="dxa"/>
            <w:tcBorders>
              <w:top w:val="nil"/>
              <w:left w:val="nil"/>
              <w:bottom w:val="nil"/>
              <w:right w:val="nil"/>
            </w:tcBorders>
          </w:tcPr>
          <w:p w14:paraId="4F3FDB5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5FCEE39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1EFDCDC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09CD294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EB59A0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37E1F2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723245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0F28253A" w14:textId="77777777" w:rsidTr="0088213C">
        <w:trPr>
          <w:trHeight w:val="247"/>
        </w:trPr>
        <w:tc>
          <w:tcPr>
            <w:tcW w:w="331" w:type="dxa"/>
            <w:tcBorders>
              <w:top w:val="nil"/>
              <w:left w:val="nil"/>
              <w:bottom w:val="nil"/>
              <w:right w:val="nil"/>
            </w:tcBorders>
          </w:tcPr>
          <w:p w14:paraId="24A6B8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B0940B7"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Net cash provided by / (used in) Financing activities</w:t>
            </w:r>
          </w:p>
        </w:tc>
        <w:tc>
          <w:tcPr>
            <w:tcW w:w="632" w:type="dxa"/>
            <w:tcBorders>
              <w:top w:val="nil"/>
              <w:left w:val="nil"/>
              <w:bottom w:val="nil"/>
              <w:right w:val="nil"/>
            </w:tcBorders>
          </w:tcPr>
          <w:p w14:paraId="1D04661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4CCDC11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single" w:sz="6" w:space="0" w:color="auto"/>
              <w:left w:val="nil"/>
              <w:bottom w:val="single" w:sz="6" w:space="0" w:color="auto"/>
              <w:right w:val="nil"/>
            </w:tcBorders>
          </w:tcPr>
          <w:p w14:paraId="0C74B04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(2,197,690)</w:t>
            </w:r>
          </w:p>
        </w:tc>
        <w:tc>
          <w:tcPr>
            <w:tcW w:w="362" w:type="dxa"/>
            <w:tcBorders>
              <w:top w:val="nil"/>
              <w:left w:val="nil"/>
              <w:bottom w:val="nil"/>
              <w:right w:val="nil"/>
            </w:tcBorders>
          </w:tcPr>
          <w:p w14:paraId="739B340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single" w:sz="6" w:space="0" w:color="auto"/>
              <w:left w:val="nil"/>
              <w:bottom w:val="single" w:sz="6" w:space="0" w:color="auto"/>
              <w:right w:val="nil"/>
            </w:tcBorders>
          </w:tcPr>
          <w:p w14:paraId="242734F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(6,562,854)</w:t>
            </w:r>
          </w:p>
        </w:tc>
      </w:tr>
      <w:tr w:rsidR="000251CF" w:rsidRPr="000251CF" w14:paraId="0DC2905C" w14:textId="77777777" w:rsidTr="0088213C">
        <w:trPr>
          <w:trHeight w:val="247"/>
        </w:trPr>
        <w:tc>
          <w:tcPr>
            <w:tcW w:w="331" w:type="dxa"/>
            <w:tcBorders>
              <w:top w:val="nil"/>
              <w:left w:val="nil"/>
              <w:bottom w:val="nil"/>
              <w:right w:val="nil"/>
            </w:tcBorders>
          </w:tcPr>
          <w:p w14:paraId="1228E3B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45B4751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36FCC12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1989FDA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DD4FAB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4EA3DCE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7F5F801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03F48167" w14:textId="77777777" w:rsidTr="0088213C">
        <w:trPr>
          <w:trHeight w:val="247"/>
        </w:trPr>
        <w:tc>
          <w:tcPr>
            <w:tcW w:w="331" w:type="dxa"/>
            <w:tcBorders>
              <w:top w:val="nil"/>
              <w:left w:val="nil"/>
              <w:bottom w:val="nil"/>
              <w:right w:val="nil"/>
            </w:tcBorders>
          </w:tcPr>
          <w:p w14:paraId="7C28D95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46268FC2"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Net increase/(decrease) in cash and cash equivalents</w:t>
            </w:r>
          </w:p>
        </w:tc>
        <w:tc>
          <w:tcPr>
            <w:tcW w:w="632" w:type="dxa"/>
            <w:tcBorders>
              <w:top w:val="nil"/>
              <w:left w:val="nil"/>
              <w:bottom w:val="nil"/>
              <w:right w:val="nil"/>
            </w:tcBorders>
          </w:tcPr>
          <w:p w14:paraId="5065E54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362" w:type="dxa"/>
            <w:tcBorders>
              <w:top w:val="nil"/>
              <w:left w:val="nil"/>
              <w:bottom w:val="nil"/>
              <w:right w:val="nil"/>
            </w:tcBorders>
          </w:tcPr>
          <w:p w14:paraId="701AEDC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6" w:type="dxa"/>
            <w:tcBorders>
              <w:top w:val="nil"/>
              <w:left w:val="nil"/>
              <w:bottom w:val="nil"/>
              <w:right w:val="nil"/>
            </w:tcBorders>
          </w:tcPr>
          <w:p w14:paraId="541FC7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(2,833,594)</w:t>
            </w:r>
          </w:p>
        </w:tc>
        <w:tc>
          <w:tcPr>
            <w:tcW w:w="362" w:type="dxa"/>
            <w:tcBorders>
              <w:top w:val="nil"/>
              <w:left w:val="nil"/>
              <w:bottom w:val="nil"/>
              <w:right w:val="nil"/>
            </w:tcBorders>
          </w:tcPr>
          <w:p w14:paraId="623DF07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nil"/>
              <w:left w:val="nil"/>
              <w:bottom w:val="nil"/>
              <w:right w:val="nil"/>
            </w:tcBorders>
          </w:tcPr>
          <w:p w14:paraId="7D3F643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(3,605,929)</w:t>
            </w:r>
          </w:p>
        </w:tc>
      </w:tr>
      <w:tr w:rsidR="000251CF" w:rsidRPr="000251CF" w14:paraId="49F0CD90" w14:textId="77777777" w:rsidTr="0088213C">
        <w:trPr>
          <w:trHeight w:val="247"/>
        </w:trPr>
        <w:tc>
          <w:tcPr>
            <w:tcW w:w="331" w:type="dxa"/>
            <w:tcBorders>
              <w:top w:val="nil"/>
              <w:left w:val="nil"/>
              <w:bottom w:val="nil"/>
              <w:right w:val="nil"/>
            </w:tcBorders>
          </w:tcPr>
          <w:p w14:paraId="561503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7F3F3F23"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Cash and cash equivalents at beginning of financial year</w:t>
            </w:r>
          </w:p>
        </w:tc>
        <w:tc>
          <w:tcPr>
            <w:tcW w:w="632" w:type="dxa"/>
            <w:tcBorders>
              <w:top w:val="nil"/>
              <w:left w:val="nil"/>
              <w:bottom w:val="nil"/>
              <w:right w:val="nil"/>
            </w:tcBorders>
          </w:tcPr>
          <w:p w14:paraId="38660AF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3DC06DB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1A3CFAB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11,911,628</w:t>
            </w:r>
          </w:p>
        </w:tc>
        <w:tc>
          <w:tcPr>
            <w:tcW w:w="362" w:type="dxa"/>
            <w:tcBorders>
              <w:top w:val="nil"/>
              <w:left w:val="nil"/>
              <w:bottom w:val="nil"/>
              <w:right w:val="nil"/>
            </w:tcBorders>
          </w:tcPr>
          <w:p w14:paraId="306B090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15466DD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15,517,557</w:t>
            </w:r>
          </w:p>
        </w:tc>
      </w:tr>
      <w:tr w:rsidR="000251CF" w:rsidRPr="000251CF" w14:paraId="35B77D6C" w14:textId="77777777" w:rsidTr="0088213C">
        <w:trPr>
          <w:trHeight w:val="247"/>
        </w:trPr>
        <w:tc>
          <w:tcPr>
            <w:tcW w:w="331" w:type="dxa"/>
            <w:tcBorders>
              <w:top w:val="nil"/>
              <w:left w:val="nil"/>
              <w:bottom w:val="nil"/>
              <w:right w:val="nil"/>
            </w:tcBorders>
          </w:tcPr>
          <w:p w14:paraId="360ADBD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59A0885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632" w:type="dxa"/>
            <w:tcBorders>
              <w:top w:val="nil"/>
              <w:left w:val="nil"/>
              <w:bottom w:val="nil"/>
              <w:right w:val="nil"/>
            </w:tcBorders>
          </w:tcPr>
          <w:p w14:paraId="7E9C600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362" w:type="dxa"/>
            <w:tcBorders>
              <w:top w:val="nil"/>
              <w:left w:val="nil"/>
              <w:bottom w:val="nil"/>
              <w:right w:val="nil"/>
            </w:tcBorders>
          </w:tcPr>
          <w:p w14:paraId="501BE8B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p>
        </w:tc>
        <w:tc>
          <w:tcPr>
            <w:tcW w:w="1416" w:type="dxa"/>
            <w:tcBorders>
              <w:top w:val="nil"/>
              <w:left w:val="nil"/>
              <w:bottom w:val="nil"/>
              <w:right w:val="nil"/>
            </w:tcBorders>
          </w:tcPr>
          <w:p w14:paraId="59BCAD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362" w:type="dxa"/>
            <w:tcBorders>
              <w:top w:val="nil"/>
              <w:left w:val="nil"/>
              <w:bottom w:val="nil"/>
              <w:right w:val="nil"/>
            </w:tcBorders>
          </w:tcPr>
          <w:p w14:paraId="3668011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339" w:type="dxa"/>
            <w:tcBorders>
              <w:top w:val="nil"/>
              <w:left w:val="nil"/>
              <w:bottom w:val="nil"/>
              <w:right w:val="nil"/>
            </w:tcBorders>
          </w:tcPr>
          <w:p w14:paraId="4EFF5D9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0D0DFAE2" w14:textId="77777777" w:rsidTr="0088213C">
        <w:trPr>
          <w:trHeight w:val="262"/>
        </w:trPr>
        <w:tc>
          <w:tcPr>
            <w:tcW w:w="331" w:type="dxa"/>
            <w:tcBorders>
              <w:top w:val="nil"/>
              <w:left w:val="nil"/>
              <w:bottom w:val="nil"/>
              <w:right w:val="nil"/>
            </w:tcBorders>
          </w:tcPr>
          <w:p w14:paraId="5B5357D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4519" w:type="dxa"/>
            <w:tcBorders>
              <w:top w:val="nil"/>
              <w:left w:val="nil"/>
              <w:bottom w:val="nil"/>
              <w:right w:val="nil"/>
            </w:tcBorders>
          </w:tcPr>
          <w:p w14:paraId="275E01D7"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Cash and cash equivalents at end of financial year</w:t>
            </w:r>
          </w:p>
        </w:tc>
        <w:tc>
          <w:tcPr>
            <w:tcW w:w="632" w:type="dxa"/>
            <w:tcBorders>
              <w:top w:val="nil"/>
              <w:left w:val="nil"/>
              <w:bottom w:val="nil"/>
              <w:right w:val="nil"/>
            </w:tcBorders>
          </w:tcPr>
          <w:p w14:paraId="5C795F0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11 </w:t>
            </w:r>
          </w:p>
        </w:tc>
        <w:tc>
          <w:tcPr>
            <w:tcW w:w="362" w:type="dxa"/>
            <w:tcBorders>
              <w:top w:val="nil"/>
              <w:left w:val="nil"/>
              <w:bottom w:val="nil"/>
              <w:right w:val="nil"/>
            </w:tcBorders>
          </w:tcPr>
          <w:p w14:paraId="3740A70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6" w:type="dxa"/>
            <w:tcBorders>
              <w:top w:val="single" w:sz="6" w:space="0" w:color="auto"/>
              <w:left w:val="nil"/>
              <w:bottom w:val="double" w:sz="6" w:space="0" w:color="auto"/>
              <w:right w:val="nil"/>
            </w:tcBorders>
          </w:tcPr>
          <w:p w14:paraId="4653A21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9,078,034</w:t>
            </w:r>
          </w:p>
        </w:tc>
        <w:tc>
          <w:tcPr>
            <w:tcW w:w="362" w:type="dxa"/>
            <w:tcBorders>
              <w:top w:val="nil"/>
              <w:left w:val="nil"/>
              <w:bottom w:val="nil"/>
              <w:right w:val="nil"/>
            </w:tcBorders>
          </w:tcPr>
          <w:p w14:paraId="117D0B5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39" w:type="dxa"/>
            <w:tcBorders>
              <w:top w:val="single" w:sz="6" w:space="0" w:color="auto"/>
              <w:left w:val="nil"/>
              <w:bottom w:val="double" w:sz="6" w:space="0" w:color="auto"/>
              <w:right w:val="nil"/>
            </w:tcBorders>
          </w:tcPr>
          <w:p w14:paraId="0528E60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11,911,628</w:t>
            </w:r>
          </w:p>
        </w:tc>
      </w:tr>
    </w:tbl>
    <w:p w14:paraId="598B6031" w14:textId="77777777" w:rsidR="00EF65F4" w:rsidRDefault="00EF65F4" w:rsidP="009F4AC6">
      <w:pPr>
        <w:rPr>
          <w:i/>
          <w:sz w:val="16"/>
          <w:szCs w:val="16"/>
        </w:rPr>
      </w:pPr>
    </w:p>
    <w:p w14:paraId="39B707AA" w14:textId="77777777" w:rsidR="009F4AC6" w:rsidRDefault="009F4AC6" w:rsidP="009F4AC6">
      <w:pPr>
        <w:tabs>
          <w:tab w:val="left" w:pos="1590"/>
        </w:tabs>
        <w:rPr>
          <w:rStyle w:val="QCAQualificationsBlack"/>
          <w:i/>
          <w:color w:val="595959" w:themeColor="text1" w:themeTint="A6"/>
          <w:sz w:val="14"/>
          <w:szCs w:val="14"/>
        </w:rPr>
      </w:pPr>
    </w:p>
    <w:p w14:paraId="3DADDE73" w14:textId="77777777" w:rsidR="009F4AC6" w:rsidRPr="001F2617" w:rsidRDefault="009F4AC6" w:rsidP="009F4AC6">
      <w:pPr>
        <w:tabs>
          <w:tab w:val="left" w:pos="1590"/>
        </w:tabs>
        <w:rPr>
          <w:rStyle w:val="QCAQualificationsBlack"/>
          <w:i/>
          <w:color w:val="595959" w:themeColor="text1" w:themeTint="A6"/>
          <w:sz w:val="14"/>
          <w:szCs w:val="14"/>
        </w:rPr>
      </w:pPr>
      <w:r w:rsidRPr="001F2617">
        <w:rPr>
          <w:rStyle w:val="QCAQualificationsBlack"/>
          <w:i/>
          <w:color w:val="595959" w:themeColor="text1" w:themeTint="A6"/>
          <w:sz w:val="14"/>
          <w:szCs w:val="14"/>
        </w:rPr>
        <w:t>The accompanying notes form part of these financial statements</w:t>
      </w:r>
    </w:p>
    <w:p w14:paraId="3470C890" w14:textId="77777777" w:rsidR="00447ED8" w:rsidRDefault="00447ED8" w:rsidP="00DD461D">
      <w:pPr>
        <w:tabs>
          <w:tab w:val="left" w:pos="1590"/>
        </w:tabs>
        <w:rPr>
          <w:rStyle w:val="QCAQualificationsBlack"/>
          <w:sz w:val="16"/>
          <w:szCs w:val="16"/>
          <w:highlight w:val="yellow"/>
        </w:rPr>
      </w:pPr>
    </w:p>
    <w:p w14:paraId="65CB0418" w14:textId="27C12215" w:rsidR="00447ED8" w:rsidRDefault="00447ED8" w:rsidP="00F32164">
      <w:pPr>
        <w:tabs>
          <w:tab w:val="left" w:pos="1590"/>
        </w:tabs>
        <w:ind w:left="7797"/>
        <w:rPr>
          <w:rStyle w:val="QCAQualificationsBlack"/>
          <w:sz w:val="16"/>
          <w:szCs w:val="16"/>
          <w:highlight w:val="yellow"/>
        </w:rPr>
      </w:pPr>
    </w:p>
    <w:p w14:paraId="3868E702" w14:textId="77777777" w:rsidR="00DE2B67" w:rsidRDefault="00DE2B67">
      <w:pPr>
        <w:tabs>
          <w:tab w:val="left" w:pos="1590"/>
        </w:tabs>
        <w:jc w:val="right"/>
        <w:rPr>
          <w:rStyle w:val="QCAQualificationsBlack"/>
          <w:sz w:val="16"/>
          <w:szCs w:val="16"/>
          <w:highlight w:val="yellow"/>
        </w:rPr>
      </w:pPr>
    </w:p>
    <w:p w14:paraId="2B730CD9" w14:textId="23FC6096" w:rsidR="00DD461D" w:rsidRPr="00D74F37" w:rsidRDefault="00C942DD" w:rsidP="00DD461D">
      <w:pPr>
        <w:pStyle w:val="Heading2"/>
      </w:pPr>
      <w:r w:rsidRPr="00C942DD">
        <w:rPr>
          <w:highlight w:val="yellow"/>
        </w:rPr>
        <w:br w:type="page"/>
      </w:r>
      <w:bookmarkStart w:id="229" w:name="_Toc487532149"/>
      <w:bookmarkStart w:id="230" w:name="_Toc487614526"/>
      <w:bookmarkStart w:id="231" w:name="_Toc520282168"/>
      <w:bookmarkStart w:id="232" w:name="_Toc80792971"/>
      <w:r w:rsidR="00A74B74" w:rsidRPr="004D2A0B">
        <w:lastRenderedPageBreak/>
        <w:t>Notes to and forming part of the financial statements</w:t>
      </w:r>
      <w:bookmarkEnd w:id="229"/>
      <w:bookmarkEnd w:id="230"/>
      <w:bookmarkEnd w:id="231"/>
      <w:bookmarkEnd w:id="232"/>
    </w:p>
    <w:p w14:paraId="77C0A17E" w14:textId="1AE308B5" w:rsidR="00DD461D" w:rsidRDefault="00C942DD" w:rsidP="00DD461D">
      <w:pPr>
        <w:rPr>
          <w:i/>
          <w:sz w:val="16"/>
          <w:szCs w:val="16"/>
        </w:rPr>
      </w:pPr>
      <w:r w:rsidRPr="008A5281">
        <w:rPr>
          <w:i/>
          <w:sz w:val="16"/>
          <w:szCs w:val="16"/>
        </w:rPr>
        <w:t>for the year ended 30 June 20</w:t>
      </w:r>
      <w:r w:rsidR="005B4464">
        <w:rPr>
          <w:i/>
          <w:sz w:val="16"/>
          <w:szCs w:val="16"/>
        </w:rPr>
        <w:t>2</w:t>
      </w:r>
      <w:r w:rsidR="00F557CB">
        <w:rPr>
          <w:i/>
          <w:sz w:val="16"/>
          <w:szCs w:val="16"/>
        </w:rPr>
        <w:t>1</w:t>
      </w:r>
    </w:p>
    <w:p w14:paraId="38954D3C" w14:textId="77777777" w:rsidR="000251CF" w:rsidRDefault="00EF65F4" w:rsidP="00EF65F4">
      <w:pPr>
        <w:rPr>
          <w:rStyle w:val="QCABold"/>
        </w:rPr>
      </w:pPr>
      <w:bookmarkStart w:id="233" w:name="_Toc487532150"/>
      <w:bookmarkStart w:id="234" w:name="_Toc487614527"/>
      <w:bookmarkStart w:id="235" w:name="_Toc520282169"/>
      <w:r w:rsidRPr="006B0530">
        <w:rPr>
          <w:rStyle w:val="QCABold"/>
        </w:rPr>
        <w:t>Note 1:</w:t>
      </w:r>
    </w:p>
    <w:p w14:paraId="32356368" w14:textId="77777777" w:rsidR="000251CF" w:rsidRPr="000251CF" w:rsidRDefault="000251CF" w:rsidP="000251CF">
      <w:pPr>
        <w:keepNext/>
        <w:keepLines/>
        <w:tabs>
          <w:tab w:val="right" w:pos="9106"/>
        </w:tabs>
        <w:spacing w:before="0" w:after="60" w:line="240" w:lineRule="auto"/>
        <w:outlineLvl w:val="4"/>
        <w:rPr>
          <w:rFonts w:ascii="Calibri" w:eastAsia="Times New Roman" w:hAnsi="Calibri" w:cs="Times New Roman"/>
          <w:b/>
          <w:bCs/>
          <w:iCs/>
        </w:rPr>
      </w:pPr>
      <w:r w:rsidRPr="000251CF">
        <w:rPr>
          <w:rFonts w:ascii="Calibri" w:eastAsia="Times New Roman" w:hAnsi="Calibri" w:cs="Times New Roman"/>
          <w:b/>
          <w:bCs/>
          <w:iCs/>
        </w:rPr>
        <w:t>Basis of Financial Statement Preparation</w:t>
      </w:r>
    </w:p>
    <w:p w14:paraId="45336B0B"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(a)</w:t>
      </w:r>
      <w:r w:rsidRPr="000251CF">
        <w:rPr>
          <w:rFonts w:ascii="Calibri" w:eastAsia="Times New Roman" w:hAnsi="Calibri" w:cs="Times New Roman"/>
          <w:b/>
          <w:szCs w:val="20"/>
        </w:rPr>
        <w:tab/>
        <w:t>General Information</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609E4BCD" w14:textId="77777777" w:rsidR="000251CF" w:rsidRPr="000251CF" w:rsidRDefault="000251CF" w:rsidP="000251CF">
      <w:pPr>
        <w:spacing w:before="0" w:after="120" w:line="240" w:lineRule="auto"/>
        <w:ind w:left="567"/>
        <w:rPr>
          <w:rFonts w:ascii="Calibri" w:eastAsia="Times New Roman" w:hAnsi="Calibri" w:cs="Times New Roman"/>
          <w:i/>
          <w:sz w:val="16"/>
          <w:szCs w:val="16"/>
        </w:rPr>
      </w:pPr>
      <w:r w:rsidRPr="000251CF">
        <w:rPr>
          <w:rFonts w:ascii="Calibri" w:eastAsia="Times New Roman" w:hAnsi="Calibri" w:cs="Times New Roman"/>
          <w:szCs w:val="20"/>
        </w:rPr>
        <w:t xml:space="preserve">These financial statements cover the Queensland Competition Authority (QCA). The QCA is a statutory body established under the </w:t>
      </w:r>
      <w:r w:rsidRPr="000251CF">
        <w:rPr>
          <w:rFonts w:ascii="Calibri" w:eastAsia="Times New Roman" w:hAnsi="Calibri" w:cs="Times New Roman"/>
          <w:i/>
          <w:iCs/>
          <w:szCs w:val="20"/>
        </w:rPr>
        <w:t>Queensland Competition Authority Act 1997</w:t>
      </w:r>
      <w:r w:rsidRPr="000251CF">
        <w:rPr>
          <w:rFonts w:ascii="Calibri" w:eastAsia="Times New Roman" w:hAnsi="Calibri" w:cs="Times New Roman"/>
          <w:szCs w:val="20"/>
        </w:rPr>
        <w:t xml:space="preserve"> (QCA Act).</w:t>
      </w:r>
      <w:r w:rsidRPr="000251CF">
        <w:rPr>
          <w:rFonts w:ascii="Calibri" w:eastAsia="Times New Roman" w:hAnsi="Calibri" w:cs="Times New Roman"/>
          <w:szCs w:val="20"/>
        </w:rPr>
        <w:tab/>
      </w:r>
    </w:p>
    <w:p w14:paraId="33CEEA44" w14:textId="77777777" w:rsidR="000251CF" w:rsidRPr="000251CF" w:rsidRDefault="000251CF" w:rsidP="000251CF">
      <w:pPr>
        <w:spacing w:before="0" w:after="0" w:line="240" w:lineRule="auto"/>
        <w:rPr>
          <w:rFonts w:ascii="Calibri" w:eastAsia="Times New Roman" w:hAnsi="Calibri" w:cs="Times New Roman"/>
          <w:i/>
          <w:sz w:val="16"/>
          <w:szCs w:val="16"/>
        </w:rPr>
      </w:pPr>
      <w:r w:rsidRPr="000251CF">
        <w:rPr>
          <w:rFonts w:ascii="Calibri" w:eastAsia="Times New Roman" w:hAnsi="Calibri" w:cs="Times New Roman"/>
          <w:b/>
          <w:szCs w:val="20"/>
        </w:rPr>
        <w:t>(b)</w:t>
      </w:r>
      <w:r w:rsidRPr="000251CF">
        <w:rPr>
          <w:rFonts w:ascii="Calibri" w:eastAsia="Times New Roman" w:hAnsi="Calibri" w:cs="Times New Roman"/>
          <w:b/>
          <w:szCs w:val="20"/>
        </w:rPr>
        <w:tab/>
        <w:t>Compliance with Prescribed Requirements</w:t>
      </w:r>
      <w:r w:rsidRPr="000251CF">
        <w:rPr>
          <w:rFonts w:ascii="Calibri" w:eastAsia="Times New Roman" w:hAnsi="Calibri" w:cs="Times New Roman"/>
          <w:i/>
          <w:sz w:val="16"/>
          <w:szCs w:val="16"/>
        </w:rPr>
        <w:tab/>
      </w:r>
      <w:r w:rsidRPr="000251CF">
        <w:rPr>
          <w:rFonts w:ascii="Calibri" w:eastAsia="Times New Roman" w:hAnsi="Calibri" w:cs="Times New Roman"/>
          <w:i/>
          <w:sz w:val="16"/>
          <w:szCs w:val="16"/>
        </w:rPr>
        <w:tab/>
      </w:r>
      <w:r w:rsidRPr="000251CF">
        <w:rPr>
          <w:rFonts w:ascii="Calibri" w:eastAsia="Times New Roman" w:hAnsi="Calibri" w:cs="Times New Roman"/>
          <w:i/>
          <w:sz w:val="16"/>
          <w:szCs w:val="16"/>
        </w:rPr>
        <w:tab/>
      </w:r>
      <w:r w:rsidRPr="000251CF">
        <w:rPr>
          <w:rFonts w:ascii="Calibri" w:eastAsia="Times New Roman" w:hAnsi="Calibri" w:cs="Times New Roman"/>
          <w:i/>
          <w:sz w:val="16"/>
          <w:szCs w:val="16"/>
        </w:rPr>
        <w:tab/>
      </w:r>
      <w:r w:rsidRPr="000251CF">
        <w:rPr>
          <w:rFonts w:ascii="Calibri" w:eastAsia="Times New Roman" w:hAnsi="Calibri" w:cs="Times New Roman"/>
          <w:i/>
          <w:sz w:val="16"/>
          <w:szCs w:val="16"/>
        </w:rPr>
        <w:tab/>
      </w:r>
      <w:r w:rsidRPr="000251CF">
        <w:rPr>
          <w:rFonts w:ascii="Calibri" w:eastAsia="Times New Roman" w:hAnsi="Calibri" w:cs="Times New Roman"/>
          <w:i/>
          <w:sz w:val="16"/>
          <w:szCs w:val="16"/>
        </w:rPr>
        <w:tab/>
      </w:r>
    </w:p>
    <w:p w14:paraId="23FDF0AC"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 xml:space="preserve">The financial statements have been prepared in compliance with the </w:t>
      </w:r>
      <w:r w:rsidRPr="000251CF">
        <w:rPr>
          <w:rFonts w:ascii="Calibri" w:eastAsia="Times New Roman" w:hAnsi="Calibri" w:cs="Times New Roman"/>
          <w:i/>
          <w:iCs/>
          <w:szCs w:val="20"/>
        </w:rPr>
        <w:t>Financial Accountability Act 2009</w:t>
      </w:r>
      <w:r w:rsidRPr="000251CF">
        <w:rPr>
          <w:rFonts w:ascii="Calibri" w:eastAsia="Times New Roman" w:hAnsi="Calibri" w:cs="Times New Roman"/>
          <w:szCs w:val="20"/>
        </w:rPr>
        <w:t xml:space="preserve"> and the </w:t>
      </w:r>
      <w:r w:rsidRPr="000251CF">
        <w:rPr>
          <w:rFonts w:ascii="Calibri" w:eastAsia="Times New Roman" w:hAnsi="Calibri" w:cs="Times New Roman"/>
          <w:i/>
          <w:iCs/>
          <w:szCs w:val="20"/>
        </w:rPr>
        <w:t>Financial and Performance Management Standard 2019</w:t>
      </w:r>
      <w:r w:rsidRPr="000251CF">
        <w:rPr>
          <w:rFonts w:ascii="Calibri" w:eastAsia="Times New Roman" w:hAnsi="Calibri" w:cs="Times New Roman"/>
          <w:szCs w:val="20"/>
        </w:rPr>
        <w:t>.</w:t>
      </w:r>
      <w:r w:rsidRPr="000251CF">
        <w:rPr>
          <w:rFonts w:ascii="Calibri" w:eastAsia="Times New Roman" w:hAnsi="Calibri" w:cs="Times New Roman"/>
          <w:szCs w:val="20"/>
        </w:rPr>
        <w:tab/>
      </w:r>
    </w:p>
    <w:p w14:paraId="6006B247"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 xml:space="preserve">The QCA is a not-for-profit entity and these </w:t>
      </w:r>
      <w:proofErr w:type="gramStart"/>
      <w:r w:rsidRPr="000251CF">
        <w:rPr>
          <w:rFonts w:ascii="Calibri" w:eastAsia="Times New Roman" w:hAnsi="Calibri" w:cs="Times New Roman"/>
          <w:szCs w:val="20"/>
        </w:rPr>
        <w:t>general purpose</w:t>
      </w:r>
      <w:proofErr w:type="gramEnd"/>
      <w:r w:rsidRPr="000251CF">
        <w:rPr>
          <w:rFonts w:ascii="Calibri" w:eastAsia="Times New Roman" w:hAnsi="Calibri" w:cs="Times New Roman"/>
          <w:szCs w:val="20"/>
        </w:rPr>
        <w:t xml:space="preserve"> financial statements are prepared in compliance with the requirements of Australian Accounting Standards - Reduced Disclosure Requirements and Interpretations applicable to not-for-profit entities.</w:t>
      </w:r>
      <w:r w:rsidRPr="000251CF">
        <w:rPr>
          <w:rFonts w:ascii="Calibri" w:eastAsia="Times New Roman" w:hAnsi="Calibri" w:cs="Times New Roman"/>
          <w:szCs w:val="20"/>
        </w:rPr>
        <w:tab/>
      </w:r>
    </w:p>
    <w:p w14:paraId="7BF225AE"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(c)</w:t>
      </w:r>
      <w:r w:rsidRPr="000251CF">
        <w:rPr>
          <w:rFonts w:ascii="Calibri" w:eastAsia="Times New Roman" w:hAnsi="Calibri" w:cs="Times New Roman"/>
          <w:b/>
          <w:szCs w:val="20"/>
        </w:rPr>
        <w:tab/>
        <w:t>The Reporting Entity</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139C86E4"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 xml:space="preserve">The QCA does not control other entities. The financial statements include the value of all income, expenses, assets, </w:t>
      </w:r>
      <w:proofErr w:type="gramStart"/>
      <w:r w:rsidRPr="000251CF">
        <w:rPr>
          <w:rFonts w:ascii="Calibri" w:eastAsia="Times New Roman" w:hAnsi="Calibri" w:cs="Times New Roman"/>
          <w:szCs w:val="20"/>
        </w:rPr>
        <w:t>liabilities</w:t>
      </w:r>
      <w:proofErr w:type="gramEnd"/>
      <w:r w:rsidRPr="000251CF">
        <w:rPr>
          <w:rFonts w:ascii="Calibri" w:eastAsia="Times New Roman" w:hAnsi="Calibri" w:cs="Times New Roman"/>
          <w:szCs w:val="20"/>
        </w:rPr>
        <w:t xml:space="preserve"> and equity of the QCA as an individual entity.</w:t>
      </w:r>
      <w:r w:rsidRPr="000251CF">
        <w:rPr>
          <w:rFonts w:ascii="Calibri" w:eastAsia="Times New Roman" w:hAnsi="Calibri" w:cs="Times New Roman"/>
          <w:szCs w:val="20"/>
        </w:rPr>
        <w:tab/>
      </w:r>
    </w:p>
    <w:p w14:paraId="76EF83E9"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(d)</w:t>
      </w:r>
      <w:r w:rsidRPr="000251CF">
        <w:rPr>
          <w:rFonts w:ascii="Calibri" w:eastAsia="Times New Roman" w:hAnsi="Calibri" w:cs="Times New Roman"/>
          <w:b/>
          <w:szCs w:val="20"/>
        </w:rPr>
        <w:tab/>
        <w:t>Underlying Measurement Basis</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5DA46C7E"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The historical cost convention is used unless otherwise stated.</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07E2F884"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 xml:space="preserve">The financial statements are prepared on an </w:t>
      </w:r>
      <w:proofErr w:type="gramStart"/>
      <w:r w:rsidRPr="000251CF">
        <w:rPr>
          <w:rFonts w:ascii="Calibri" w:eastAsia="Times New Roman" w:hAnsi="Calibri" w:cs="Times New Roman"/>
          <w:szCs w:val="20"/>
        </w:rPr>
        <w:t>accruals</w:t>
      </w:r>
      <w:proofErr w:type="gramEnd"/>
      <w:r w:rsidRPr="000251CF">
        <w:rPr>
          <w:rFonts w:ascii="Calibri" w:eastAsia="Times New Roman" w:hAnsi="Calibri" w:cs="Times New Roman"/>
          <w:szCs w:val="20"/>
        </w:rPr>
        <w:t xml:space="preserve"> basis (with the exception of the statement of cash flows which is prepared on a cash basis).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9649228" w14:textId="77777777" w:rsidR="000251CF" w:rsidRPr="000251CF" w:rsidRDefault="000251CF" w:rsidP="000251CF">
      <w:pPr>
        <w:spacing w:before="0" w:after="0" w:line="240" w:lineRule="auto"/>
        <w:rPr>
          <w:rFonts w:ascii="Calibri" w:eastAsia="Times New Roman" w:hAnsi="Calibri" w:cs="Times New Roman"/>
          <w:b/>
          <w:sz w:val="21"/>
          <w:szCs w:val="20"/>
        </w:rPr>
      </w:pPr>
      <w:r w:rsidRPr="000251CF">
        <w:rPr>
          <w:rFonts w:ascii="Calibri" w:eastAsia="Times New Roman" w:hAnsi="Calibri" w:cs="Times New Roman"/>
          <w:b/>
          <w:sz w:val="21"/>
          <w:szCs w:val="20"/>
        </w:rPr>
        <w:t>(e)</w:t>
      </w:r>
      <w:r w:rsidRPr="000251CF">
        <w:rPr>
          <w:rFonts w:ascii="Calibri" w:eastAsia="Times New Roman" w:hAnsi="Calibri" w:cs="Times New Roman"/>
          <w:b/>
          <w:sz w:val="21"/>
          <w:szCs w:val="20"/>
        </w:rPr>
        <w:tab/>
        <w:t>Other Presentation Matters</w:t>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p>
    <w:p w14:paraId="1247D6D6" w14:textId="77777777" w:rsidR="000251CF" w:rsidRPr="000251CF" w:rsidRDefault="000251CF" w:rsidP="000251CF">
      <w:pPr>
        <w:spacing w:before="0" w:after="0" w:line="240" w:lineRule="auto"/>
        <w:ind w:left="567"/>
        <w:rPr>
          <w:rFonts w:ascii="Calibri" w:eastAsia="Times New Roman" w:hAnsi="Calibri" w:cs="Times New Roman"/>
          <w:szCs w:val="20"/>
          <w:u w:val="single"/>
        </w:rPr>
      </w:pPr>
      <w:r w:rsidRPr="000251CF">
        <w:rPr>
          <w:rFonts w:ascii="Calibri" w:eastAsia="Times New Roman" w:hAnsi="Calibri" w:cs="Times New Roman"/>
          <w:szCs w:val="20"/>
          <w:u w:val="single"/>
        </w:rPr>
        <w:t>Currency and Rounding</w:t>
      </w:r>
    </w:p>
    <w:p w14:paraId="69097C19"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Amounts included in financial statements are in Australian dollars, are rounded to the nearest dollar and may not add to the correct sub-totals or totals due to rounding.</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BEAB94E" w14:textId="77777777" w:rsidR="000251CF" w:rsidRPr="000251CF" w:rsidRDefault="000251CF" w:rsidP="000251CF">
      <w:pPr>
        <w:spacing w:before="0" w:after="0" w:line="240" w:lineRule="auto"/>
        <w:ind w:left="567"/>
        <w:rPr>
          <w:rFonts w:ascii="Calibri" w:eastAsia="Times New Roman" w:hAnsi="Calibri" w:cs="Times New Roman"/>
          <w:szCs w:val="20"/>
          <w:u w:val="single"/>
        </w:rPr>
      </w:pPr>
      <w:r w:rsidRPr="000251CF">
        <w:rPr>
          <w:rFonts w:ascii="Calibri" w:eastAsia="Times New Roman" w:hAnsi="Calibri" w:cs="Times New Roman"/>
          <w:szCs w:val="20"/>
          <w:u w:val="single"/>
        </w:rPr>
        <w:t>Comparatives</w:t>
      </w:r>
      <w:r w:rsidRPr="000251CF">
        <w:rPr>
          <w:rFonts w:ascii="Calibri" w:eastAsia="Times New Roman" w:hAnsi="Calibri" w:cs="Times New Roman"/>
          <w:szCs w:val="20"/>
          <w:u w:val="single"/>
        </w:rPr>
        <w:tab/>
      </w:r>
    </w:p>
    <w:p w14:paraId="66D3A03A"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Comparative information reflects the audited 2019–20 financial statements. Comparative information is restated where necessary to be consistent with disclosures in the current reporting period. There have been no material restatements during the year.</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5FB6C86E" w14:textId="77777777" w:rsidR="000251CF" w:rsidRPr="000251CF" w:rsidRDefault="000251CF" w:rsidP="000251CF">
      <w:pPr>
        <w:spacing w:before="0" w:after="0" w:line="240" w:lineRule="auto"/>
        <w:ind w:left="567"/>
        <w:rPr>
          <w:rFonts w:ascii="Calibri" w:eastAsia="Times New Roman" w:hAnsi="Calibri" w:cs="Times New Roman"/>
          <w:szCs w:val="20"/>
          <w:u w:val="single"/>
        </w:rPr>
      </w:pPr>
      <w:r w:rsidRPr="000251CF">
        <w:rPr>
          <w:rFonts w:ascii="Calibri" w:eastAsia="Times New Roman" w:hAnsi="Calibri" w:cs="Times New Roman"/>
          <w:szCs w:val="20"/>
          <w:u w:val="single"/>
        </w:rPr>
        <w:t>Current/Non-Current Classification</w:t>
      </w:r>
      <w:r w:rsidRPr="000251CF">
        <w:rPr>
          <w:rFonts w:ascii="Calibri" w:eastAsia="Times New Roman" w:hAnsi="Calibri" w:cs="Times New Roman"/>
          <w:szCs w:val="20"/>
          <w:u w:val="single"/>
        </w:rPr>
        <w:tab/>
      </w:r>
    </w:p>
    <w:p w14:paraId="02340B5E"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Assets and liabilities are classified as either 'current' or 'non-current' in the Statement of Financial Position and associated notes. Assets are classified as 'current' where their carrying amount is expected to be realised within 12 months after the reporting date. Liabilities are classified as 'current' when they are due to be settled within 12 months after the reporting date, or when the QCA does not have an unconditional right to defer settlement to beyond 12 months after the reporting date.</w:t>
      </w:r>
      <w:r w:rsidRPr="000251CF">
        <w:rPr>
          <w:rFonts w:ascii="Calibri" w:eastAsia="Times New Roman" w:hAnsi="Calibri" w:cs="Times New Roman"/>
          <w:szCs w:val="20"/>
        </w:rPr>
        <w:tab/>
      </w:r>
    </w:p>
    <w:p w14:paraId="21A4BBBD" w14:textId="77777777" w:rsidR="000251CF" w:rsidRPr="000251CF" w:rsidRDefault="000251CF" w:rsidP="000251CF">
      <w:pPr>
        <w:spacing w:before="0" w:after="0" w:line="240" w:lineRule="auto"/>
        <w:rPr>
          <w:rFonts w:ascii="Calibri" w:eastAsia="Times New Roman" w:hAnsi="Calibri" w:cs="Times New Roman"/>
          <w:b/>
          <w:sz w:val="21"/>
          <w:szCs w:val="20"/>
        </w:rPr>
      </w:pPr>
      <w:r w:rsidRPr="000251CF">
        <w:rPr>
          <w:rFonts w:ascii="Calibri" w:eastAsia="Times New Roman" w:hAnsi="Calibri" w:cs="Times New Roman"/>
          <w:b/>
          <w:sz w:val="21"/>
          <w:szCs w:val="20"/>
        </w:rPr>
        <w:t>(f)</w:t>
      </w:r>
      <w:r w:rsidRPr="000251CF">
        <w:rPr>
          <w:rFonts w:ascii="Calibri" w:eastAsia="Times New Roman" w:hAnsi="Calibri" w:cs="Times New Roman"/>
          <w:b/>
          <w:sz w:val="21"/>
          <w:szCs w:val="20"/>
        </w:rPr>
        <w:tab/>
        <w:t>New Accounting Standards (including early adoption)</w:t>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p>
    <w:p w14:paraId="47C30A0B"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The QCA did not voluntarily change any of its accounting policies during 2020–21.</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065244F"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The QCA did not early adopt any new accounting pronouncements in the 2020–21 financial year.</w:t>
      </w:r>
      <w:r w:rsidRPr="000251CF">
        <w:rPr>
          <w:rFonts w:ascii="Calibri" w:eastAsia="Times New Roman" w:hAnsi="Calibri" w:cs="Times New Roman"/>
          <w:szCs w:val="20"/>
        </w:rPr>
        <w:tab/>
      </w:r>
    </w:p>
    <w:p w14:paraId="632EBC25" w14:textId="77777777"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There were no new accounting standards applied for the first time in 2020–21 that had a material impact on the QCA.</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2F4C24B" w14:textId="77777777" w:rsidR="000251CF" w:rsidRPr="000251CF" w:rsidRDefault="000251CF" w:rsidP="000251CF">
      <w:pPr>
        <w:spacing w:before="0" w:after="0" w:line="240" w:lineRule="auto"/>
        <w:rPr>
          <w:rFonts w:ascii="Calibri" w:eastAsia="Times New Roman" w:hAnsi="Calibri" w:cs="Times New Roman"/>
          <w:b/>
          <w:sz w:val="21"/>
          <w:szCs w:val="20"/>
        </w:rPr>
      </w:pPr>
      <w:r w:rsidRPr="000251CF">
        <w:rPr>
          <w:rFonts w:ascii="Calibri" w:eastAsia="Times New Roman" w:hAnsi="Calibri" w:cs="Times New Roman"/>
          <w:b/>
          <w:sz w:val="21"/>
          <w:szCs w:val="20"/>
        </w:rPr>
        <w:t>(g)</w:t>
      </w:r>
      <w:r w:rsidRPr="000251CF">
        <w:rPr>
          <w:rFonts w:ascii="Calibri" w:eastAsia="Times New Roman" w:hAnsi="Calibri" w:cs="Times New Roman"/>
          <w:b/>
          <w:sz w:val="21"/>
          <w:szCs w:val="20"/>
        </w:rPr>
        <w:tab/>
        <w:t>Authorisation of Financial Statements for issue</w:t>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p>
    <w:p w14:paraId="52CE6B78" w14:textId="52666A5D" w:rsidR="000251CF" w:rsidRPr="000251CF" w:rsidRDefault="000251CF" w:rsidP="000251CF">
      <w:pPr>
        <w:spacing w:before="0" w:after="120" w:line="240" w:lineRule="auto"/>
        <w:ind w:left="567"/>
        <w:rPr>
          <w:rFonts w:ascii="Calibri" w:eastAsia="Times New Roman" w:hAnsi="Calibri" w:cs="Times New Roman"/>
          <w:szCs w:val="20"/>
        </w:rPr>
      </w:pPr>
      <w:r w:rsidRPr="000251CF">
        <w:rPr>
          <w:rFonts w:ascii="Calibri" w:eastAsia="Times New Roman" w:hAnsi="Calibri" w:cs="Times New Roman"/>
          <w:szCs w:val="20"/>
        </w:rPr>
        <w:t>The financial statements were authorised for issue by the Chair and the Chief Executive Officer at the date of signing the Management Certificate.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53FDCB96"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Note 2:</w:t>
      </w:r>
    </w:p>
    <w:tbl>
      <w:tblPr>
        <w:tblW w:w="0" w:type="auto"/>
        <w:tblInd w:w="6" w:type="dxa"/>
        <w:tblLayout w:type="fixed"/>
        <w:tblLook w:val="0000" w:firstRow="0" w:lastRow="0" w:firstColumn="0" w:lastColumn="0" w:noHBand="0" w:noVBand="0"/>
      </w:tblPr>
      <w:tblGrid>
        <w:gridCol w:w="1448"/>
        <w:gridCol w:w="982"/>
        <w:gridCol w:w="1058"/>
        <w:gridCol w:w="1087"/>
        <w:gridCol w:w="700"/>
        <w:gridCol w:w="1843"/>
        <w:gridCol w:w="1559"/>
      </w:tblGrid>
      <w:tr w:rsidR="000251CF" w:rsidRPr="000251CF" w14:paraId="6B301D21" w14:textId="77777777" w:rsidTr="0041176B">
        <w:trPr>
          <w:trHeight w:val="142"/>
        </w:trPr>
        <w:tc>
          <w:tcPr>
            <w:tcW w:w="1448" w:type="dxa"/>
            <w:tcBorders>
              <w:top w:val="nil"/>
              <w:left w:val="nil"/>
              <w:right w:val="nil"/>
            </w:tcBorders>
          </w:tcPr>
          <w:p w14:paraId="4A781009"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Fees</w:t>
            </w:r>
          </w:p>
        </w:tc>
        <w:tc>
          <w:tcPr>
            <w:tcW w:w="982" w:type="dxa"/>
            <w:tcBorders>
              <w:top w:val="nil"/>
              <w:left w:val="nil"/>
              <w:right w:val="nil"/>
            </w:tcBorders>
          </w:tcPr>
          <w:p w14:paraId="7B0BFB3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058" w:type="dxa"/>
            <w:tcBorders>
              <w:top w:val="nil"/>
              <w:left w:val="nil"/>
              <w:right w:val="nil"/>
            </w:tcBorders>
          </w:tcPr>
          <w:p w14:paraId="15B2486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087" w:type="dxa"/>
            <w:tcBorders>
              <w:top w:val="nil"/>
              <w:left w:val="nil"/>
              <w:right w:val="nil"/>
            </w:tcBorders>
          </w:tcPr>
          <w:p w14:paraId="73913B6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700" w:type="dxa"/>
            <w:tcBorders>
              <w:top w:val="nil"/>
              <w:left w:val="nil"/>
              <w:right w:val="nil"/>
            </w:tcBorders>
          </w:tcPr>
          <w:p w14:paraId="25A125B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right w:val="nil"/>
            </w:tcBorders>
            <w:shd w:val="solid" w:color="C0C0C0" w:fill="auto"/>
          </w:tcPr>
          <w:p w14:paraId="323130B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559" w:type="dxa"/>
            <w:tcBorders>
              <w:top w:val="nil"/>
              <w:left w:val="nil"/>
              <w:right w:val="nil"/>
            </w:tcBorders>
            <w:shd w:val="solid" w:color="C0C0C0" w:fill="auto"/>
          </w:tcPr>
          <w:p w14:paraId="242644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38408F92" w14:textId="77777777" w:rsidTr="0041176B">
        <w:trPr>
          <w:trHeight w:val="142"/>
        </w:trPr>
        <w:tc>
          <w:tcPr>
            <w:tcW w:w="1448" w:type="dxa"/>
            <w:tcBorders>
              <w:top w:val="nil"/>
              <w:left w:val="nil"/>
              <w:bottom w:val="single" w:sz="6" w:space="0" w:color="auto"/>
              <w:right w:val="nil"/>
            </w:tcBorders>
          </w:tcPr>
          <w:p w14:paraId="2FDA68A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982" w:type="dxa"/>
            <w:tcBorders>
              <w:top w:val="nil"/>
              <w:left w:val="nil"/>
              <w:bottom w:val="single" w:sz="6" w:space="0" w:color="auto"/>
              <w:right w:val="nil"/>
            </w:tcBorders>
          </w:tcPr>
          <w:p w14:paraId="68EED86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single" w:sz="6" w:space="0" w:color="auto"/>
              <w:right w:val="nil"/>
            </w:tcBorders>
          </w:tcPr>
          <w:p w14:paraId="2DF1485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single" w:sz="6" w:space="0" w:color="auto"/>
              <w:right w:val="nil"/>
            </w:tcBorders>
          </w:tcPr>
          <w:p w14:paraId="1C71897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700" w:type="dxa"/>
            <w:tcBorders>
              <w:top w:val="nil"/>
              <w:left w:val="nil"/>
              <w:bottom w:val="single" w:sz="6" w:space="0" w:color="auto"/>
              <w:right w:val="nil"/>
            </w:tcBorders>
          </w:tcPr>
          <w:p w14:paraId="4AB3CC8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bottom w:val="single" w:sz="6" w:space="0" w:color="auto"/>
              <w:right w:val="nil"/>
            </w:tcBorders>
            <w:shd w:val="solid" w:color="C0C0C0" w:fill="auto"/>
          </w:tcPr>
          <w:p w14:paraId="6EBB6F7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559" w:type="dxa"/>
            <w:tcBorders>
              <w:top w:val="nil"/>
              <w:left w:val="nil"/>
              <w:bottom w:val="single" w:sz="6" w:space="0" w:color="auto"/>
              <w:right w:val="nil"/>
            </w:tcBorders>
            <w:shd w:val="solid" w:color="C0C0C0" w:fill="auto"/>
          </w:tcPr>
          <w:p w14:paraId="27B079E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612BFF3D" w14:textId="77777777" w:rsidTr="0041176B">
        <w:trPr>
          <w:trHeight w:val="142"/>
        </w:trPr>
        <w:tc>
          <w:tcPr>
            <w:tcW w:w="1448" w:type="dxa"/>
            <w:tcBorders>
              <w:top w:val="single" w:sz="6" w:space="0" w:color="auto"/>
              <w:left w:val="nil"/>
              <w:bottom w:val="nil"/>
              <w:right w:val="nil"/>
            </w:tcBorders>
          </w:tcPr>
          <w:p w14:paraId="1FD09DE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Fees</w:t>
            </w:r>
          </w:p>
        </w:tc>
        <w:tc>
          <w:tcPr>
            <w:tcW w:w="982" w:type="dxa"/>
            <w:tcBorders>
              <w:top w:val="single" w:sz="6" w:space="0" w:color="auto"/>
              <w:left w:val="nil"/>
              <w:bottom w:val="nil"/>
              <w:right w:val="nil"/>
            </w:tcBorders>
          </w:tcPr>
          <w:p w14:paraId="21471DF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58" w:type="dxa"/>
            <w:tcBorders>
              <w:top w:val="single" w:sz="6" w:space="0" w:color="auto"/>
              <w:left w:val="nil"/>
              <w:bottom w:val="nil"/>
              <w:right w:val="nil"/>
            </w:tcBorders>
          </w:tcPr>
          <w:p w14:paraId="405514D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single" w:sz="6" w:space="0" w:color="auto"/>
              <w:left w:val="nil"/>
              <w:bottom w:val="nil"/>
              <w:right w:val="nil"/>
            </w:tcBorders>
          </w:tcPr>
          <w:p w14:paraId="1B0CADC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700" w:type="dxa"/>
            <w:tcBorders>
              <w:top w:val="single" w:sz="6" w:space="0" w:color="auto"/>
              <w:left w:val="nil"/>
              <w:bottom w:val="nil"/>
              <w:right w:val="nil"/>
            </w:tcBorders>
          </w:tcPr>
          <w:p w14:paraId="507498CB"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single" w:sz="6" w:space="0" w:color="auto"/>
              <w:left w:val="nil"/>
              <w:bottom w:val="nil"/>
              <w:right w:val="nil"/>
            </w:tcBorders>
          </w:tcPr>
          <w:p w14:paraId="24167F3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6,948,628</w:t>
            </w:r>
          </w:p>
        </w:tc>
        <w:tc>
          <w:tcPr>
            <w:tcW w:w="1559" w:type="dxa"/>
            <w:tcBorders>
              <w:top w:val="single" w:sz="6" w:space="0" w:color="auto"/>
              <w:left w:val="nil"/>
              <w:bottom w:val="nil"/>
              <w:right w:val="nil"/>
            </w:tcBorders>
          </w:tcPr>
          <w:p w14:paraId="0E1BF25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10,644,849</w:t>
            </w:r>
          </w:p>
        </w:tc>
      </w:tr>
      <w:tr w:rsidR="000251CF" w:rsidRPr="000251CF" w14:paraId="74F7D824" w14:textId="77777777" w:rsidTr="0041176B">
        <w:trPr>
          <w:trHeight w:val="142"/>
        </w:trPr>
        <w:tc>
          <w:tcPr>
            <w:tcW w:w="1448" w:type="dxa"/>
            <w:tcBorders>
              <w:top w:val="nil"/>
              <w:left w:val="nil"/>
              <w:bottom w:val="nil"/>
              <w:right w:val="nil"/>
            </w:tcBorders>
          </w:tcPr>
          <w:p w14:paraId="6FEBC3FD"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982" w:type="dxa"/>
            <w:tcBorders>
              <w:top w:val="nil"/>
              <w:left w:val="nil"/>
              <w:bottom w:val="nil"/>
              <w:right w:val="nil"/>
            </w:tcBorders>
          </w:tcPr>
          <w:p w14:paraId="42CAB24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752620E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52C88F2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700" w:type="dxa"/>
            <w:tcBorders>
              <w:top w:val="nil"/>
              <w:left w:val="nil"/>
              <w:bottom w:val="nil"/>
              <w:right w:val="nil"/>
            </w:tcBorders>
          </w:tcPr>
          <w:p w14:paraId="73290AE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bottom w:val="nil"/>
              <w:right w:val="nil"/>
            </w:tcBorders>
          </w:tcPr>
          <w:p w14:paraId="08945F8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6,948,628</w:t>
            </w:r>
          </w:p>
        </w:tc>
        <w:tc>
          <w:tcPr>
            <w:tcW w:w="1559" w:type="dxa"/>
            <w:tcBorders>
              <w:top w:val="nil"/>
              <w:left w:val="nil"/>
              <w:bottom w:val="nil"/>
              <w:right w:val="nil"/>
            </w:tcBorders>
          </w:tcPr>
          <w:p w14:paraId="3F2120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10,644,849 </w:t>
            </w:r>
          </w:p>
        </w:tc>
      </w:tr>
    </w:tbl>
    <w:p w14:paraId="27FD34E1" w14:textId="77777777" w:rsidR="000251CF" w:rsidRDefault="000251CF" w:rsidP="000251CF">
      <w:pPr>
        <w:spacing w:before="0" w:after="0" w:line="240" w:lineRule="auto"/>
        <w:rPr>
          <w:rFonts w:ascii="Calibri" w:eastAsia="Times New Roman" w:hAnsi="Calibri" w:cs="Times New Roman"/>
          <w:b/>
          <w:szCs w:val="20"/>
        </w:rPr>
      </w:pPr>
    </w:p>
    <w:p w14:paraId="032A9E72" w14:textId="77777777" w:rsidR="000251CF" w:rsidRDefault="000251CF">
      <w:pPr>
        <w:spacing w:before="0" w:after="160" w:line="259" w:lineRule="auto"/>
        <w:rPr>
          <w:rFonts w:ascii="Calibri" w:eastAsia="Times New Roman" w:hAnsi="Calibri" w:cs="Times New Roman"/>
          <w:b/>
          <w:szCs w:val="20"/>
        </w:rPr>
      </w:pPr>
      <w:r>
        <w:rPr>
          <w:rFonts w:ascii="Calibri" w:eastAsia="Times New Roman" w:hAnsi="Calibri" w:cs="Times New Roman"/>
          <w:b/>
          <w:szCs w:val="20"/>
        </w:rPr>
        <w:br w:type="page"/>
      </w:r>
    </w:p>
    <w:p w14:paraId="632BCCF2" w14:textId="37E26432"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lastRenderedPageBreak/>
        <w:t>Accounting Policy</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22624119" w14:textId="77777777" w:rsidR="000251CF" w:rsidRPr="000251CF" w:rsidRDefault="000251CF" w:rsidP="000251CF">
      <w:pPr>
        <w:spacing w:before="0" w:after="120" w:line="240" w:lineRule="auto"/>
        <w:rPr>
          <w:rFonts w:ascii="Calibri" w:eastAsia="Times New Roman" w:hAnsi="Calibri" w:cs="Times New Roman"/>
          <w:bCs/>
          <w:szCs w:val="20"/>
        </w:rPr>
      </w:pPr>
      <w:r w:rsidRPr="000251CF">
        <w:rPr>
          <w:rFonts w:ascii="Calibri" w:eastAsia="Times New Roman" w:hAnsi="Calibri" w:cs="Times New Roman"/>
          <w:bCs/>
          <w:szCs w:val="20"/>
        </w:rPr>
        <w:t xml:space="preserve">Fee revenue is recognised in the accounting period in which the services are rendered and </w:t>
      </w:r>
      <w:proofErr w:type="gramStart"/>
      <w:r w:rsidRPr="000251CF">
        <w:rPr>
          <w:rFonts w:ascii="Calibri" w:eastAsia="Times New Roman" w:hAnsi="Calibri" w:cs="Times New Roman"/>
          <w:bCs/>
          <w:szCs w:val="20"/>
        </w:rPr>
        <w:t>is in compliance with</w:t>
      </w:r>
      <w:proofErr w:type="gramEnd"/>
      <w:r w:rsidRPr="000251CF">
        <w:rPr>
          <w:rFonts w:ascii="Calibri" w:eastAsia="Times New Roman" w:hAnsi="Calibri" w:cs="Times New Roman"/>
          <w:bCs/>
          <w:szCs w:val="20"/>
        </w:rPr>
        <w:t xml:space="preserve"> the requirements set out in the </w:t>
      </w:r>
      <w:r w:rsidRPr="000251CF">
        <w:rPr>
          <w:rFonts w:ascii="Calibri" w:eastAsia="Times New Roman" w:hAnsi="Calibri" w:cs="Times New Roman"/>
          <w:bCs/>
          <w:i/>
          <w:iCs/>
          <w:szCs w:val="20"/>
        </w:rPr>
        <w:t>Queensland Competition Authority Regulation 2018</w:t>
      </w:r>
      <w:r w:rsidRPr="000251CF">
        <w:rPr>
          <w:rFonts w:ascii="Calibri" w:eastAsia="Times New Roman" w:hAnsi="Calibri" w:cs="Times New Roman"/>
          <w:bCs/>
          <w:szCs w:val="20"/>
        </w:rPr>
        <w:t>.</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2E68261D" w14:textId="714E8BEC" w:rsidR="000251CF" w:rsidRPr="000251CF" w:rsidRDefault="000251CF" w:rsidP="000251CF">
      <w:pPr>
        <w:spacing w:before="0" w:after="120" w:line="240" w:lineRule="auto"/>
        <w:rPr>
          <w:rFonts w:ascii="Calibri" w:eastAsia="Times New Roman" w:hAnsi="Calibri" w:cs="Times New Roman"/>
          <w:bCs/>
          <w:szCs w:val="20"/>
        </w:rPr>
      </w:pPr>
      <w:r w:rsidRPr="000251CF">
        <w:rPr>
          <w:rFonts w:ascii="Calibri" w:eastAsia="Times New Roman" w:hAnsi="Calibri" w:cs="Times New Roman"/>
          <w:bCs/>
          <w:szCs w:val="20"/>
        </w:rPr>
        <w:t xml:space="preserve">The </w:t>
      </w:r>
      <w:r w:rsidRPr="000251CF">
        <w:rPr>
          <w:rFonts w:ascii="Calibri" w:eastAsia="Times New Roman" w:hAnsi="Calibri" w:cs="Times New Roman"/>
          <w:bCs/>
          <w:i/>
          <w:iCs/>
          <w:szCs w:val="20"/>
        </w:rPr>
        <w:t>Queensland Competition Authority Regulation 2018</w:t>
      </w:r>
      <w:r w:rsidRPr="000251CF">
        <w:rPr>
          <w:rFonts w:ascii="Calibri" w:eastAsia="Times New Roman" w:hAnsi="Calibri" w:cs="Times New Roman"/>
          <w:bCs/>
          <w:szCs w:val="20"/>
        </w:rPr>
        <w:t xml:space="preserve"> only permits the QCA to charge fees for providing a service or performing a function that is no more than the reasonable cost of providing that service or performing that function. Regulatory fee income is calculated based on the associated costs of providing the related services.</w:t>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6C8AEBB1" w14:textId="77777777" w:rsidR="000251CF" w:rsidRPr="000251CF" w:rsidRDefault="000251CF" w:rsidP="000251CF">
      <w:pPr>
        <w:spacing w:before="0" w:after="120" w:line="240" w:lineRule="auto"/>
        <w:rPr>
          <w:rFonts w:ascii="Calibri" w:eastAsia="Times New Roman" w:hAnsi="Calibri" w:cs="Times New Roman"/>
          <w:bCs/>
          <w:szCs w:val="20"/>
        </w:rPr>
      </w:pPr>
      <w:r w:rsidRPr="000251CF">
        <w:rPr>
          <w:rFonts w:ascii="Calibri" w:eastAsia="Times New Roman" w:hAnsi="Calibri" w:cs="Times New Roman"/>
          <w:bCs/>
          <w:szCs w:val="20"/>
        </w:rPr>
        <w:t xml:space="preserve">Any regulatory fee income received </w:t>
      </w:r>
      <w:proofErr w:type="gramStart"/>
      <w:r w:rsidRPr="000251CF">
        <w:rPr>
          <w:rFonts w:ascii="Calibri" w:eastAsia="Times New Roman" w:hAnsi="Calibri" w:cs="Times New Roman"/>
          <w:bCs/>
          <w:szCs w:val="20"/>
        </w:rPr>
        <w:t>in excess of</w:t>
      </w:r>
      <w:proofErr w:type="gramEnd"/>
      <w:r w:rsidRPr="000251CF">
        <w:rPr>
          <w:rFonts w:ascii="Calibri" w:eastAsia="Times New Roman" w:hAnsi="Calibri" w:cs="Times New Roman"/>
          <w:bCs/>
          <w:szCs w:val="20"/>
        </w:rPr>
        <w:t xml:space="preserve"> the costs of providing the related services in a year is disclosed in the Statement of Financial Position as a payable and is recognised as an expense in the Statement of Comprehensive Income. All amounts payable are repaid in the next financial year.</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2880D83E" w14:textId="77777777" w:rsidR="000251CF" w:rsidRPr="000251CF" w:rsidRDefault="000251CF" w:rsidP="000251CF">
      <w:pPr>
        <w:spacing w:before="0" w:after="120" w:line="240" w:lineRule="auto"/>
        <w:rPr>
          <w:rFonts w:ascii="Calibri" w:eastAsia="Times New Roman" w:hAnsi="Calibri" w:cs="Times New Roman"/>
          <w:bCs/>
          <w:szCs w:val="20"/>
        </w:rPr>
      </w:pPr>
      <w:r w:rsidRPr="000251CF">
        <w:rPr>
          <w:rFonts w:ascii="Calibri" w:eastAsia="Times New Roman" w:hAnsi="Calibri" w:cs="Times New Roman"/>
          <w:bCs/>
          <w:szCs w:val="20"/>
        </w:rPr>
        <w:t xml:space="preserve">Any cost of providing the regulated services </w:t>
      </w:r>
      <w:proofErr w:type="gramStart"/>
      <w:r w:rsidRPr="000251CF">
        <w:rPr>
          <w:rFonts w:ascii="Calibri" w:eastAsia="Times New Roman" w:hAnsi="Calibri" w:cs="Times New Roman"/>
          <w:bCs/>
          <w:szCs w:val="20"/>
        </w:rPr>
        <w:t>in excess of</w:t>
      </w:r>
      <w:proofErr w:type="gramEnd"/>
      <w:r w:rsidRPr="000251CF">
        <w:rPr>
          <w:rFonts w:ascii="Calibri" w:eastAsia="Times New Roman" w:hAnsi="Calibri" w:cs="Times New Roman"/>
          <w:bCs/>
          <w:szCs w:val="20"/>
        </w:rPr>
        <w:t xml:space="preserve"> the regulated fee income received in a year is disclosed in the Statement of Financial Position as a receivable and is recognised as revenue in the Statement of Comprehensive Income. All amounts </w:t>
      </w:r>
      <w:proofErr w:type="gramStart"/>
      <w:r w:rsidRPr="000251CF">
        <w:rPr>
          <w:rFonts w:ascii="Calibri" w:eastAsia="Times New Roman" w:hAnsi="Calibri" w:cs="Times New Roman"/>
          <w:bCs/>
          <w:szCs w:val="20"/>
        </w:rPr>
        <w:t>receivable</w:t>
      </w:r>
      <w:proofErr w:type="gramEnd"/>
      <w:r w:rsidRPr="000251CF">
        <w:rPr>
          <w:rFonts w:ascii="Calibri" w:eastAsia="Times New Roman" w:hAnsi="Calibri" w:cs="Times New Roman"/>
          <w:bCs/>
          <w:szCs w:val="20"/>
        </w:rPr>
        <w:t xml:space="preserve"> are invoiced in the subsequent financial year.</w:t>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71F48E93"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b/>
          <w:szCs w:val="20"/>
        </w:rPr>
        <w:t>Note 3</w:t>
      </w:r>
      <w:r w:rsidRPr="000251CF">
        <w:rPr>
          <w:rFonts w:ascii="Calibri" w:eastAsia="Times New Roman" w:hAnsi="Calibri" w:cs="Times New Roman"/>
          <w:szCs w:val="20"/>
        </w:rPr>
        <w:t>:</w:t>
      </w:r>
    </w:p>
    <w:tbl>
      <w:tblPr>
        <w:tblW w:w="9670" w:type="dxa"/>
        <w:tblInd w:w="-30" w:type="dxa"/>
        <w:tblLayout w:type="fixed"/>
        <w:tblLook w:val="0000" w:firstRow="0" w:lastRow="0" w:firstColumn="0" w:lastColumn="0" w:noHBand="0" w:noVBand="0"/>
      </w:tblPr>
      <w:tblGrid>
        <w:gridCol w:w="3291"/>
        <w:gridCol w:w="1276"/>
        <w:gridCol w:w="1276"/>
        <w:gridCol w:w="1842"/>
        <w:gridCol w:w="1985"/>
      </w:tblGrid>
      <w:tr w:rsidR="000251CF" w:rsidRPr="000251CF" w14:paraId="7A6A6FA4" w14:textId="77777777" w:rsidTr="00CA7A64">
        <w:trPr>
          <w:trHeight w:val="142"/>
        </w:trPr>
        <w:tc>
          <w:tcPr>
            <w:tcW w:w="3291" w:type="dxa"/>
            <w:tcBorders>
              <w:top w:val="nil"/>
              <w:left w:val="nil"/>
              <w:right w:val="nil"/>
            </w:tcBorders>
          </w:tcPr>
          <w:p w14:paraId="4E0E854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Government Grant</w:t>
            </w:r>
          </w:p>
        </w:tc>
        <w:tc>
          <w:tcPr>
            <w:tcW w:w="1276" w:type="dxa"/>
            <w:tcBorders>
              <w:top w:val="nil"/>
              <w:left w:val="nil"/>
              <w:right w:val="nil"/>
            </w:tcBorders>
          </w:tcPr>
          <w:p w14:paraId="1E1ADF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6" w:type="dxa"/>
            <w:tcBorders>
              <w:top w:val="nil"/>
              <w:left w:val="nil"/>
              <w:right w:val="nil"/>
            </w:tcBorders>
          </w:tcPr>
          <w:p w14:paraId="07F00BD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2" w:type="dxa"/>
            <w:tcBorders>
              <w:top w:val="nil"/>
              <w:left w:val="nil"/>
              <w:right w:val="nil"/>
            </w:tcBorders>
            <w:shd w:val="solid" w:color="C0C0C0" w:fill="auto"/>
          </w:tcPr>
          <w:p w14:paraId="1F03698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985" w:type="dxa"/>
            <w:tcBorders>
              <w:top w:val="nil"/>
              <w:left w:val="nil"/>
              <w:right w:val="nil"/>
            </w:tcBorders>
            <w:shd w:val="solid" w:color="C0C0C0" w:fill="auto"/>
          </w:tcPr>
          <w:p w14:paraId="60F38C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41955064" w14:textId="77777777" w:rsidTr="00CA7A64">
        <w:trPr>
          <w:trHeight w:val="142"/>
        </w:trPr>
        <w:tc>
          <w:tcPr>
            <w:tcW w:w="3291" w:type="dxa"/>
            <w:tcBorders>
              <w:top w:val="nil"/>
              <w:left w:val="nil"/>
              <w:bottom w:val="single" w:sz="6" w:space="0" w:color="auto"/>
              <w:right w:val="nil"/>
            </w:tcBorders>
          </w:tcPr>
          <w:p w14:paraId="6049EFF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276" w:type="dxa"/>
            <w:tcBorders>
              <w:top w:val="nil"/>
              <w:left w:val="nil"/>
              <w:bottom w:val="single" w:sz="6" w:space="0" w:color="auto"/>
              <w:right w:val="nil"/>
            </w:tcBorders>
          </w:tcPr>
          <w:p w14:paraId="0F88E89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6" w:type="dxa"/>
            <w:tcBorders>
              <w:top w:val="nil"/>
              <w:left w:val="nil"/>
              <w:bottom w:val="single" w:sz="6" w:space="0" w:color="auto"/>
              <w:right w:val="nil"/>
            </w:tcBorders>
          </w:tcPr>
          <w:p w14:paraId="124F083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2" w:type="dxa"/>
            <w:tcBorders>
              <w:top w:val="nil"/>
              <w:left w:val="nil"/>
              <w:bottom w:val="single" w:sz="6" w:space="0" w:color="auto"/>
              <w:right w:val="nil"/>
            </w:tcBorders>
            <w:shd w:val="solid" w:color="C0C0C0" w:fill="auto"/>
          </w:tcPr>
          <w:p w14:paraId="7CFA5A3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985" w:type="dxa"/>
            <w:tcBorders>
              <w:top w:val="nil"/>
              <w:left w:val="nil"/>
              <w:bottom w:val="single" w:sz="6" w:space="0" w:color="auto"/>
              <w:right w:val="nil"/>
            </w:tcBorders>
            <w:shd w:val="solid" w:color="C0C0C0" w:fill="auto"/>
          </w:tcPr>
          <w:p w14:paraId="2B644AC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1D263314" w14:textId="77777777" w:rsidTr="00CA7A64">
        <w:trPr>
          <w:trHeight w:val="142"/>
        </w:trPr>
        <w:tc>
          <w:tcPr>
            <w:tcW w:w="4562" w:type="dxa"/>
            <w:gridSpan w:val="2"/>
            <w:tcBorders>
              <w:top w:val="single" w:sz="6" w:space="0" w:color="auto"/>
              <w:left w:val="nil"/>
              <w:bottom w:val="nil"/>
              <w:right w:val="nil"/>
            </w:tcBorders>
          </w:tcPr>
          <w:p w14:paraId="1839EA9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Grant - Queensland Treasury</w:t>
            </w:r>
          </w:p>
        </w:tc>
        <w:tc>
          <w:tcPr>
            <w:tcW w:w="1276" w:type="dxa"/>
            <w:tcBorders>
              <w:top w:val="single" w:sz="6" w:space="0" w:color="auto"/>
              <w:left w:val="nil"/>
              <w:bottom w:val="nil"/>
              <w:right w:val="nil"/>
            </w:tcBorders>
          </w:tcPr>
          <w:p w14:paraId="00E969A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2" w:type="dxa"/>
            <w:tcBorders>
              <w:top w:val="single" w:sz="6" w:space="0" w:color="auto"/>
              <w:left w:val="nil"/>
              <w:bottom w:val="nil"/>
              <w:right w:val="nil"/>
            </w:tcBorders>
          </w:tcPr>
          <w:p w14:paraId="15876B3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3,650,000</w:t>
            </w:r>
          </w:p>
        </w:tc>
        <w:tc>
          <w:tcPr>
            <w:tcW w:w="1985" w:type="dxa"/>
            <w:tcBorders>
              <w:top w:val="single" w:sz="6" w:space="0" w:color="auto"/>
              <w:left w:val="nil"/>
              <w:bottom w:val="nil"/>
              <w:right w:val="nil"/>
            </w:tcBorders>
          </w:tcPr>
          <w:p w14:paraId="0727CE6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4,000,000</w:t>
            </w:r>
          </w:p>
        </w:tc>
      </w:tr>
      <w:tr w:rsidR="000251CF" w:rsidRPr="000251CF" w14:paraId="3C861672" w14:textId="77777777" w:rsidTr="00CA7A64">
        <w:trPr>
          <w:trHeight w:val="142"/>
        </w:trPr>
        <w:tc>
          <w:tcPr>
            <w:tcW w:w="3291" w:type="dxa"/>
            <w:tcBorders>
              <w:top w:val="nil"/>
              <w:left w:val="nil"/>
              <w:bottom w:val="nil"/>
              <w:right w:val="nil"/>
            </w:tcBorders>
          </w:tcPr>
          <w:p w14:paraId="5D82467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1276" w:type="dxa"/>
            <w:tcBorders>
              <w:top w:val="nil"/>
              <w:left w:val="nil"/>
              <w:bottom w:val="nil"/>
              <w:right w:val="nil"/>
            </w:tcBorders>
          </w:tcPr>
          <w:p w14:paraId="69D539C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6" w:type="dxa"/>
            <w:tcBorders>
              <w:top w:val="nil"/>
              <w:left w:val="nil"/>
              <w:bottom w:val="nil"/>
              <w:right w:val="nil"/>
            </w:tcBorders>
          </w:tcPr>
          <w:p w14:paraId="341645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2" w:type="dxa"/>
            <w:tcBorders>
              <w:top w:val="nil"/>
              <w:left w:val="nil"/>
              <w:bottom w:val="nil"/>
              <w:right w:val="nil"/>
            </w:tcBorders>
          </w:tcPr>
          <w:p w14:paraId="557476B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3,650,000</w:t>
            </w:r>
          </w:p>
        </w:tc>
        <w:tc>
          <w:tcPr>
            <w:tcW w:w="1985" w:type="dxa"/>
            <w:tcBorders>
              <w:top w:val="nil"/>
              <w:left w:val="nil"/>
              <w:bottom w:val="nil"/>
              <w:right w:val="nil"/>
            </w:tcBorders>
          </w:tcPr>
          <w:p w14:paraId="6FFC48E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4,000,000 </w:t>
            </w:r>
          </w:p>
        </w:tc>
      </w:tr>
    </w:tbl>
    <w:p w14:paraId="7F17DA5E" w14:textId="77777777" w:rsidR="000251CF" w:rsidRPr="000251CF" w:rsidRDefault="000251CF" w:rsidP="000251CF">
      <w:pPr>
        <w:spacing w:before="0" w:after="0" w:line="240" w:lineRule="auto"/>
        <w:rPr>
          <w:rFonts w:ascii="Calibri" w:eastAsia="Times New Roman" w:hAnsi="Calibri" w:cs="Times New Roman"/>
          <w:szCs w:val="20"/>
        </w:rPr>
      </w:pPr>
    </w:p>
    <w:p w14:paraId="512148E0" w14:textId="77777777" w:rsidR="000251CF" w:rsidRPr="000251CF" w:rsidRDefault="000251CF" w:rsidP="000251CF">
      <w:pPr>
        <w:spacing w:before="0" w:after="0" w:line="240" w:lineRule="auto"/>
        <w:rPr>
          <w:rFonts w:ascii="Calibri" w:eastAsia="Times New Roman" w:hAnsi="Calibri" w:cs="Times New Roman"/>
          <w:b/>
          <w:sz w:val="21"/>
          <w:szCs w:val="20"/>
        </w:rPr>
      </w:pPr>
      <w:r w:rsidRPr="000251CF">
        <w:rPr>
          <w:rFonts w:ascii="Calibri" w:eastAsia="Times New Roman" w:hAnsi="Calibri" w:cs="Times New Roman"/>
          <w:b/>
          <w:szCs w:val="20"/>
        </w:rPr>
        <w:t>Accounting Policy</w:t>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r w:rsidRPr="000251CF">
        <w:rPr>
          <w:rFonts w:ascii="Calibri" w:eastAsia="Times New Roman" w:hAnsi="Calibri" w:cs="Times New Roman"/>
          <w:b/>
          <w:sz w:val="21"/>
          <w:szCs w:val="20"/>
        </w:rPr>
        <w:tab/>
      </w:r>
    </w:p>
    <w:p w14:paraId="04F5959E"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The Government grant is recognised upon receipt of the grant funding. The grant is non-reciprocal in nature.</w:t>
      </w:r>
    </w:p>
    <w:p w14:paraId="5C797283"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Where the grant agreement is enforceable and contains specific performance obligations for the QCA to transfer services to a third party on the grantor's behalf, the grant is accounted for under AASB 15 </w:t>
      </w:r>
      <w:r w:rsidRPr="000251CF">
        <w:rPr>
          <w:rFonts w:ascii="Calibri" w:eastAsia="Times New Roman" w:hAnsi="Calibri" w:cs="Times New Roman"/>
          <w:i/>
          <w:iCs/>
          <w:szCs w:val="20"/>
        </w:rPr>
        <w:t>Revenue from Contracts with Customers</w:t>
      </w:r>
      <w:r w:rsidRPr="000251CF">
        <w:rPr>
          <w:rFonts w:ascii="Calibri" w:eastAsia="Times New Roman" w:hAnsi="Calibri" w:cs="Times New Roman"/>
          <w:szCs w:val="20"/>
        </w:rPr>
        <w:t>. In this case, revenue is initially deferred as unearned revenue (contract liability) and recognised as or when the performance obligations are satisfied.</w:t>
      </w:r>
      <w:r w:rsidRPr="000251CF">
        <w:rPr>
          <w:rFonts w:ascii="Calibri" w:eastAsia="Times New Roman" w:hAnsi="Calibri" w:cs="Times New Roman"/>
          <w:szCs w:val="20"/>
        </w:rPr>
        <w:tab/>
      </w:r>
    </w:p>
    <w:p w14:paraId="3A2AFA8F"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Otherwise, the grant is accounted for under AASB 1058 </w:t>
      </w:r>
      <w:r w:rsidRPr="000251CF">
        <w:rPr>
          <w:rFonts w:ascii="Calibri" w:eastAsia="Times New Roman" w:hAnsi="Calibri" w:cs="Times New Roman"/>
          <w:i/>
          <w:iCs/>
          <w:szCs w:val="20"/>
        </w:rPr>
        <w:t>Income for Not-for-Profit Entities</w:t>
      </w:r>
      <w:r w:rsidRPr="000251CF">
        <w:rPr>
          <w:rFonts w:ascii="Calibri" w:eastAsia="Times New Roman" w:hAnsi="Calibri" w:cs="Times New Roman"/>
          <w:szCs w:val="20"/>
        </w:rPr>
        <w:t>, whereby revenue is recognised upon receipt of the grant funding. The QCA did not receive any specific purpose capital grants in this financial year.</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DDB1A2A"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Contributions of assets received from the government are recognised at fair value on the date of transfer in the Statement of Financial Position, with a corresponding amount of revenue recognised in the Statement of Comprehensive Income.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79878B68"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Disclosure - Grants and other contributions</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5FFBFFED"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The grant received from Queensland Treasury is accounted for under AASB 1058.</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61961DB5"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 xml:space="preserve">Note 4: </w:t>
      </w:r>
    </w:p>
    <w:tbl>
      <w:tblPr>
        <w:tblW w:w="9669" w:type="dxa"/>
        <w:tblInd w:w="-30" w:type="dxa"/>
        <w:tblLayout w:type="fixed"/>
        <w:tblLook w:val="0000" w:firstRow="0" w:lastRow="0" w:firstColumn="0" w:lastColumn="0" w:noHBand="0" w:noVBand="0"/>
      </w:tblPr>
      <w:tblGrid>
        <w:gridCol w:w="1819"/>
        <w:gridCol w:w="479"/>
        <w:gridCol w:w="284"/>
        <w:gridCol w:w="2268"/>
        <w:gridCol w:w="1275"/>
        <w:gridCol w:w="1843"/>
        <w:gridCol w:w="1701"/>
      </w:tblGrid>
      <w:tr w:rsidR="000251CF" w:rsidRPr="000251CF" w14:paraId="4CF48DBA" w14:textId="77777777" w:rsidTr="00CA7A64">
        <w:trPr>
          <w:trHeight w:val="142"/>
        </w:trPr>
        <w:tc>
          <w:tcPr>
            <w:tcW w:w="1819" w:type="dxa"/>
            <w:tcBorders>
              <w:top w:val="nil"/>
              <w:left w:val="nil"/>
              <w:right w:val="nil"/>
            </w:tcBorders>
          </w:tcPr>
          <w:p w14:paraId="56FE973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Other Income</w:t>
            </w:r>
          </w:p>
        </w:tc>
        <w:tc>
          <w:tcPr>
            <w:tcW w:w="479" w:type="dxa"/>
            <w:tcBorders>
              <w:top w:val="nil"/>
              <w:left w:val="nil"/>
              <w:right w:val="nil"/>
            </w:tcBorders>
          </w:tcPr>
          <w:p w14:paraId="7FFB4F5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4" w:type="dxa"/>
            <w:tcBorders>
              <w:top w:val="nil"/>
              <w:left w:val="nil"/>
              <w:right w:val="nil"/>
            </w:tcBorders>
          </w:tcPr>
          <w:p w14:paraId="671F0E2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268" w:type="dxa"/>
            <w:tcBorders>
              <w:top w:val="nil"/>
              <w:left w:val="nil"/>
              <w:right w:val="nil"/>
            </w:tcBorders>
          </w:tcPr>
          <w:p w14:paraId="2D6EB05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right w:val="nil"/>
            </w:tcBorders>
          </w:tcPr>
          <w:p w14:paraId="0A6F6F45"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right w:val="nil"/>
            </w:tcBorders>
            <w:shd w:val="solid" w:color="C0C0C0" w:fill="auto"/>
          </w:tcPr>
          <w:p w14:paraId="700C5AF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701" w:type="dxa"/>
            <w:tcBorders>
              <w:top w:val="nil"/>
              <w:left w:val="nil"/>
              <w:right w:val="nil"/>
            </w:tcBorders>
            <w:shd w:val="solid" w:color="C0C0C0" w:fill="auto"/>
          </w:tcPr>
          <w:p w14:paraId="250BB39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4488D7A9" w14:textId="77777777" w:rsidTr="00CA7A64">
        <w:trPr>
          <w:trHeight w:val="142"/>
        </w:trPr>
        <w:tc>
          <w:tcPr>
            <w:tcW w:w="1819" w:type="dxa"/>
            <w:tcBorders>
              <w:top w:val="nil"/>
              <w:left w:val="nil"/>
              <w:bottom w:val="single" w:sz="6" w:space="0" w:color="auto"/>
              <w:right w:val="nil"/>
            </w:tcBorders>
          </w:tcPr>
          <w:p w14:paraId="5CEE006B"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479" w:type="dxa"/>
            <w:tcBorders>
              <w:top w:val="nil"/>
              <w:left w:val="nil"/>
              <w:bottom w:val="single" w:sz="6" w:space="0" w:color="auto"/>
              <w:right w:val="nil"/>
            </w:tcBorders>
          </w:tcPr>
          <w:p w14:paraId="3192FFA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4" w:type="dxa"/>
            <w:tcBorders>
              <w:top w:val="nil"/>
              <w:left w:val="nil"/>
              <w:bottom w:val="single" w:sz="6" w:space="0" w:color="auto"/>
              <w:right w:val="nil"/>
            </w:tcBorders>
          </w:tcPr>
          <w:p w14:paraId="6F65BFD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268" w:type="dxa"/>
            <w:tcBorders>
              <w:top w:val="nil"/>
              <w:left w:val="nil"/>
              <w:bottom w:val="single" w:sz="6" w:space="0" w:color="auto"/>
              <w:right w:val="nil"/>
            </w:tcBorders>
          </w:tcPr>
          <w:p w14:paraId="2D7E959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bottom w:val="single" w:sz="6" w:space="0" w:color="auto"/>
              <w:right w:val="nil"/>
            </w:tcBorders>
          </w:tcPr>
          <w:p w14:paraId="6C3CC77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bottom w:val="single" w:sz="6" w:space="0" w:color="auto"/>
              <w:right w:val="nil"/>
            </w:tcBorders>
            <w:shd w:val="solid" w:color="C0C0C0" w:fill="auto"/>
          </w:tcPr>
          <w:p w14:paraId="72BE3B9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701" w:type="dxa"/>
            <w:tcBorders>
              <w:top w:val="nil"/>
              <w:left w:val="nil"/>
              <w:bottom w:val="single" w:sz="6" w:space="0" w:color="auto"/>
              <w:right w:val="nil"/>
            </w:tcBorders>
            <w:shd w:val="solid" w:color="C0C0C0" w:fill="auto"/>
          </w:tcPr>
          <w:p w14:paraId="0700CB6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566752C1" w14:textId="77777777" w:rsidTr="00CA7A64">
        <w:trPr>
          <w:trHeight w:val="142"/>
        </w:trPr>
        <w:tc>
          <w:tcPr>
            <w:tcW w:w="1819" w:type="dxa"/>
            <w:tcBorders>
              <w:top w:val="single" w:sz="6" w:space="0" w:color="auto"/>
              <w:left w:val="nil"/>
              <w:bottom w:val="nil"/>
              <w:right w:val="nil"/>
            </w:tcBorders>
          </w:tcPr>
          <w:p w14:paraId="50C637A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Interest </w:t>
            </w:r>
          </w:p>
        </w:tc>
        <w:tc>
          <w:tcPr>
            <w:tcW w:w="479" w:type="dxa"/>
            <w:tcBorders>
              <w:top w:val="single" w:sz="6" w:space="0" w:color="auto"/>
              <w:left w:val="nil"/>
              <w:bottom w:val="nil"/>
              <w:right w:val="nil"/>
            </w:tcBorders>
          </w:tcPr>
          <w:p w14:paraId="5F52B40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84" w:type="dxa"/>
            <w:tcBorders>
              <w:top w:val="single" w:sz="6" w:space="0" w:color="auto"/>
              <w:left w:val="nil"/>
              <w:bottom w:val="nil"/>
              <w:right w:val="nil"/>
            </w:tcBorders>
          </w:tcPr>
          <w:p w14:paraId="02D2262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268" w:type="dxa"/>
            <w:tcBorders>
              <w:top w:val="single" w:sz="6" w:space="0" w:color="auto"/>
              <w:left w:val="nil"/>
              <w:bottom w:val="nil"/>
              <w:right w:val="nil"/>
            </w:tcBorders>
          </w:tcPr>
          <w:p w14:paraId="530E47F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single" w:sz="6" w:space="0" w:color="auto"/>
              <w:left w:val="nil"/>
              <w:bottom w:val="nil"/>
              <w:right w:val="nil"/>
            </w:tcBorders>
          </w:tcPr>
          <w:p w14:paraId="65EB7F22"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single" w:sz="6" w:space="0" w:color="auto"/>
              <w:left w:val="nil"/>
              <w:bottom w:val="nil"/>
              <w:right w:val="nil"/>
            </w:tcBorders>
          </w:tcPr>
          <w:p w14:paraId="1679393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79,036</w:t>
            </w:r>
          </w:p>
        </w:tc>
        <w:tc>
          <w:tcPr>
            <w:tcW w:w="1701" w:type="dxa"/>
            <w:tcBorders>
              <w:top w:val="single" w:sz="6" w:space="0" w:color="auto"/>
              <w:left w:val="nil"/>
              <w:bottom w:val="nil"/>
              <w:right w:val="nil"/>
            </w:tcBorders>
          </w:tcPr>
          <w:p w14:paraId="43956C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196,449</w:t>
            </w:r>
          </w:p>
        </w:tc>
      </w:tr>
      <w:tr w:rsidR="000251CF" w:rsidRPr="000251CF" w14:paraId="50E9E276" w14:textId="77777777" w:rsidTr="00CA7A64">
        <w:trPr>
          <w:trHeight w:val="142"/>
        </w:trPr>
        <w:tc>
          <w:tcPr>
            <w:tcW w:w="1819" w:type="dxa"/>
            <w:tcBorders>
              <w:top w:val="nil"/>
              <w:left w:val="nil"/>
              <w:bottom w:val="nil"/>
              <w:right w:val="nil"/>
            </w:tcBorders>
          </w:tcPr>
          <w:p w14:paraId="54DE9F1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Sub-lease rent income</w:t>
            </w:r>
          </w:p>
        </w:tc>
        <w:tc>
          <w:tcPr>
            <w:tcW w:w="479" w:type="dxa"/>
            <w:tcBorders>
              <w:top w:val="nil"/>
              <w:left w:val="nil"/>
              <w:bottom w:val="nil"/>
              <w:right w:val="nil"/>
            </w:tcBorders>
          </w:tcPr>
          <w:p w14:paraId="7B89FB2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284" w:type="dxa"/>
            <w:tcBorders>
              <w:top w:val="nil"/>
              <w:left w:val="nil"/>
              <w:bottom w:val="nil"/>
              <w:right w:val="nil"/>
            </w:tcBorders>
          </w:tcPr>
          <w:p w14:paraId="7776455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2268" w:type="dxa"/>
            <w:tcBorders>
              <w:top w:val="nil"/>
              <w:left w:val="nil"/>
              <w:bottom w:val="nil"/>
              <w:right w:val="nil"/>
            </w:tcBorders>
          </w:tcPr>
          <w:p w14:paraId="0F4FF4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095FD163"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bottom w:val="nil"/>
              <w:right w:val="nil"/>
            </w:tcBorders>
          </w:tcPr>
          <w:p w14:paraId="3BF07EC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446,055</w:t>
            </w:r>
          </w:p>
        </w:tc>
        <w:tc>
          <w:tcPr>
            <w:tcW w:w="1701" w:type="dxa"/>
            <w:tcBorders>
              <w:top w:val="nil"/>
              <w:left w:val="nil"/>
              <w:bottom w:val="nil"/>
              <w:right w:val="nil"/>
            </w:tcBorders>
          </w:tcPr>
          <w:p w14:paraId="143BB05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388,960</w:t>
            </w:r>
          </w:p>
        </w:tc>
      </w:tr>
      <w:tr w:rsidR="000251CF" w:rsidRPr="000251CF" w14:paraId="4C0CB9F1" w14:textId="77777777" w:rsidTr="00CA7A64">
        <w:trPr>
          <w:trHeight w:val="142"/>
        </w:trPr>
        <w:tc>
          <w:tcPr>
            <w:tcW w:w="1819" w:type="dxa"/>
            <w:tcBorders>
              <w:top w:val="nil"/>
              <w:left w:val="nil"/>
              <w:bottom w:val="nil"/>
              <w:right w:val="nil"/>
            </w:tcBorders>
          </w:tcPr>
          <w:p w14:paraId="37A19A51"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w:t>
            </w:r>
          </w:p>
        </w:tc>
        <w:tc>
          <w:tcPr>
            <w:tcW w:w="479" w:type="dxa"/>
            <w:tcBorders>
              <w:top w:val="nil"/>
              <w:left w:val="nil"/>
              <w:bottom w:val="nil"/>
              <w:right w:val="nil"/>
            </w:tcBorders>
          </w:tcPr>
          <w:p w14:paraId="4DA9D9E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284" w:type="dxa"/>
            <w:tcBorders>
              <w:top w:val="nil"/>
              <w:left w:val="nil"/>
              <w:bottom w:val="nil"/>
              <w:right w:val="nil"/>
            </w:tcBorders>
          </w:tcPr>
          <w:p w14:paraId="08199A3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2268" w:type="dxa"/>
            <w:tcBorders>
              <w:top w:val="nil"/>
              <w:left w:val="nil"/>
              <w:bottom w:val="nil"/>
              <w:right w:val="nil"/>
            </w:tcBorders>
          </w:tcPr>
          <w:p w14:paraId="593EBA6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275" w:type="dxa"/>
            <w:tcBorders>
              <w:top w:val="nil"/>
              <w:left w:val="nil"/>
              <w:bottom w:val="nil"/>
              <w:right w:val="nil"/>
            </w:tcBorders>
          </w:tcPr>
          <w:p w14:paraId="5682BE24"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bottom w:val="nil"/>
              <w:right w:val="nil"/>
            </w:tcBorders>
          </w:tcPr>
          <w:p w14:paraId="70C53D0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112,433</w:t>
            </w:r>
          </w:p>
        </w:tc>
        <w:tc>
          <w:tcPr>
            <w:tcW w:w="1701" w:type="dxa"/>
            <w:tcBorders>
              <w:top w:val="nil"/>
              <w:left w:val="nil"/>
              <w:bottom w:val="nil"/>
              <w:right w:val="nil"/>
            </w:tcBorders>
          </w:tcPr>
          <w:p w14:paraId="59C3EA9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128,125</w:t>
            </w:r>
          </w:p>
        </w:tc>
      </w:tr>
      <w:tr w:rsidR="000251CF" w:rsidRPr="000251CF" w14:paraId="4E195494" w14:textId="77777777" w:rsidTr="00CA7A64">
        <w:trPr>
          <w:trHeight w:val="142"/>
        </w:trPr>
        <w:tc>
          <w:tcPr>
            <w:tcW w:w="1819" w:type="dxa"/>
            <w:tcBorders>
              <w:top w:val="nil"/>
              <w:left w:val="nil"/>
              <w:bottom w:val="nil"/>
              <w:right w:val="nil"/>
            </w:tcBorders>
          </w:tcPr>
          <w:p w14:paraId="1F4626C6"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479" w:type="dxa"/>
            <w:tcBorders>
              <w:top w:val="nil"/>
              <w:left w:val="nil"/>
              <w:bottom w:val="nil"/>
              <w:right w:val="nil"/>
            </w:tcBorders>
          </w:tcPr>
          <w:p w14:paraId="614A33B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84" w:type="dxa"/>
            <w:tcBorders>
              <w:top w:val="nil"/>
              <w:left w:val="nil"/>
              <w:bottom w:val="nil"/>
              <w:right w:val="nil"/>
            </w:tcBorders>
          </w:tcPr>
          <w:p w14:paraId="76AE359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268" w:type="dxa"/>
            <w:tcBorders>
              <w:top w:val="nil"/>
              <w:left w:val="nil"/>
              <w:bottom w:val="nil"/>
              <w:right w:val="nil"/>
            </w:tcBorders>
          </w:tcPr>
          <w:p w14:paraId="144ABA5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275" w:type="dxa"/>
            <w:tcBorders>
              <w:top w:val="nil"/>
              <w:left w:val="nil"/>
              <w:bottom w:val="nil"/>
              <w:right w:val="nil"/>
            </w:tcBorders>
          </w:tcPr>
          <w:p w14:paraId="11DBAFBE"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843" w:type="dxa"/>
            <w:tcBorders>
              <w:top w:val="nil"/>
              <w:left w:val="nil"/>
              <w:bottom w:val="nil"/>
              <w:right w:val="nil"/>
            </w:tcBorders>
          </w:tcPr>
          <w:p w14:paraId="33F1C37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637,524</w:t>
            </w:r>
          </w:p>
        </w:tc>
        <w:tc>
          <w:tcPr>
            <w:tcW w:w="1701" w:type="dxa"/>
            <w:tcBorders>
              <w:top w:val="nil"/>
              <w:left w:val="nil"/>
              <w:bottom w:val="nil"/>
              <w:right w:val="nil"/>
            </w:tcBorders>
          </w:tcPr>
          <w:p w14:paraId="5CE4BC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713,534</w:t>
            </w:r>
          </w:p>
        </w:tc>
      </w:tr>
    </w:tbl>
    <w:p w14:paraId="3CCE93D9" w14:textId="77777777" w:rsidR="000251CF" w:rsidRPr="000251CF" w:rsidRDefault="000251CF" w:rsidP="000251CF">
      <w:pPr>
        <w:spacing w:before="0" w:after="0" w:line="240" w:lineRule="auto"/>
        <w:rPr>
          <w:rFonts w:ascii="Calibri" w:eastAsia="Times New Roman" w:hAnsi="Calibri" w:cs="Times New Roman"/>
          <w:b/>
          <w:szCs w:val="20"/>
        </w:rPr>
      </w:pPr>
    </w:p>
    <w:p w14:paraId="5C0ABCC1" w14:textId="77777777" w:rsidR="000251CF" w:rsidRPr="000251CF" w:rsidRDefault="000251CF" w:rsidP="000251CF">
      <w:pPr>
        <w:spacing w:before="0" w:after="0" w:line="240" w:lineRule="auto"/>
        <w:rPr>
          <w:rFonts w:ascii="Calibri" w:eastAsia="Times New Roman" w:hAnsi="Calibri" w:cs="Times New Roman"/>
          <w:b/>
          <w:bCs/>
          <w:szCs w:val="20"/>
        </w:rPr>
      </w:pPr>
      <w:r w:rsidRPr="000251CF">
        <w:rPr>
          <w:rFonts w:ascii="Calibri" w:eastAsia="Times New Roman" w:hAnsi="Calibri" w:cs="Times New Roman"/>
          <w:b/>
          <w:bCs/>
          <w:szCs w:val="20"/>
        </w:rPr>
        <w:t>Accounting Policy</w:t>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p>
    <w:p w14:paraId="22F8188C" w14:textId="77777777" w:rsidR="000251CF" w:rsidRPr="000251CF" w:rsidRDefault="000251CF" w:rsidP="000251CF">
      <w:pPr>
        <w:spacing w:before="0" w:after="120" w:line="240" w:lineRule="auto"/>
        <w:rPr>
          <w:rFonts w:ascii="Calibri" w:eastAsia="Times New Roman" w:hAnsi="Calibri" w:cs="Times New Roman"/>
          <w:bCs/>
          <w:szCs w:val="20"/>
        </w:rPr>
      </w:pPr>
      <w:r w:rsidRPr="000251CF">
        <w:rPr>
          <w:rFonts w:ascii="Calibri" w:eastAsia="Times New Roman" w:hAnsi="Calibri" w:cs="Times New Roman"/>
          <w:bCs/>
          <w:szCs w:val="20"/>
        </w:rPr>
        <w:t>Sub-lease rent income is derived from leasing floor space to Queensland Productivity Commission (which became part of Queensland Treasury on 2 June 2021) and is classed as revenue and does not offset rent expense. The sub-lease has a term less than one year with no option to renew. Rent is received monthly in arrears with an annual increase of 4.25%.</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22D283EF" w14:textId="77777777" w:rsidR="000251CF" w:rsidRPr="000251CF" w:rsidRDefault="000251CF" w:rsidP="000251CF">
      <w:pPr>
        <w:spacing w:before="0" w:after="120" w:line="240" w:lineRule="auto"/>
        <w:rPr>
          <w:rFonts w:ascii="Calibri" w:eastAsia="Times New Roman" w:hAnsi="Calibri" w:cs="Times New Roman"/>
          <w:b/>
          <w:szCs w:val="20"/>
        </w:rPr>
      </w:pPr>
      <w:r w:rsidRPr="000251CF">
        <w:rPr>
          <w:rFonts w:ascii="Calibri" w:eastAsia="Times New Roman" w:hAnsi="Calibri" w:cs="Times New Roman"/>
          <w:bCs/>
          <w:szCs w:val="20"/>
        </w:rPr>
        <w:t>Lease income is recognised when the right to receive the revenue has been established</w:t>
      </w:r>
      <w:r w:rsidRPr="000251CF">
        <w:rPr>
          <w:rFonts w:ascii="Calibri" w:eastAsia="Times New Roman" w:hAnsi="Calibri" w:cs="Times New Roman"/>
          <w:b/>
          <w:szCs w:val="20"/>
        </w:rPr>
        <w:t>.</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011C2FD6"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br w:type="page"/>
      </w:r>
    </w:p>
    <w:p w14:paraId="3163C736"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b/>
          <w:szCs w:val="20"/>
        </w:rPr>
        <w:lastRenderedPageBreak/>
        <w:t>Note 5</w:t>
      </w:r>
      <w:r w:rsidRPr="000251CF">
        <w:rPr>
          <w:rFonts w:ascii="Calibri" w:eastAsia="Times New Roman" w:hAnsi="Calibri" w:cs="Times New Roman"/>
          <w:szCs w:val="20"/>
        </w:rPr>
        <w:t xml:space="preserve">: </w:t>
      </w:r>
    </w:p>
    <w:tbl>
      <w:tblPr>
        <w:tblW w:w="0" w:type="auto"/>
        <w:tblInd w:w="-30" w:type="dxa"/>
        <w:tblLayout w:type="fixed"/>
        <w:tblLook w:val="0000" w:firstRow="0" w:lastRow="0" w:firstColumn="0" w:lastColumn="0" w:noHBand="0" w:noVBand="0"/>
      </w:tblPr>
      <w:tblGrid>
        <w:gridCol w:w="2865"/>
        <w:gridCol w:w="709"/>
        <w:gridCol w:w="2148"/>
        <w:gridCol w:w="1843"/>
        <w:gridCol w:w="1843"/>
      </w:tblGrid>
      <w:tr w:rsidR="000251CF" w:rsidRPr="000251CF" w14:paraId="27BD3DB2" w14:textId="77777777" w:rsidTr="00CA7A64">
        <w:trPr>
          <w:trHeight w:val="142"/>
        </w:trPr>
        <w:tc>
          <w:tcPr>
            <w:tcW w:w="2865" w:type="dxa"/>
            <w:tcBorders>
              <w:top w:val="nil"/>
              <w:left w:val="nil"/>
              <w:right w:val="nil"/>
            </w:tcBorders>
          </w:tcPr>
          <w:p w14:paraId="5BDE2B5F"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Employee Expenses</w:t>
            </w:r>
          </w:p>
        </w:tc>
        <w:tc>
          <w:tcPr>
            <w:tcW w:w="709" w:type="dxa"/>
            <w:tcBorders>
              <w:top w:val="nil"/>
              <w:left w:val="nil"/>
              <w:right w:val="nil"/>
            </w:tcBorders>
          </w:tcPr>
          <w:p w14:paraId="7532CF2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148" w:type="dxa"/>
            <w:tcBorders>
              <w:top w:val="nil"/>
              <w:left w:val="nil"/>
              <w:right w:val="nil"/>
            </w:tcBorders>
          </w:tcPr>
          <w:p w14:paraId="394252C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nil"/>
              <w:left w:val="nil"/>
              <w:right w:val="nil"/>
            </w:tcBorders>
            <w:shd w:val="solid" w:color="C0C0C0" w:fill="auto"/>
          </w:tcPr>
          <w:p w14:paraId="406E71F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843" w:type="dxa"/>
            <w:tcBorders>
              <w:top w:val="nil"/>
              <w:left w:val="nil"/>
              <w:right w:val="nil"/>
            </w:tcBorders>
            <w:shd w:val="solid" w:color="C0C0C0" w:fill="auto"/>
          </w:tcPr>
          <w:p w14:paraId="6815CF4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02AF7B22" w14:textId="77777777" w:rsidTr="00CA7A64">
        <w:trPr>
          <w:trHeight w:val="142"/>
        </w:trPr>
        <w:tc>
          <w:tcPr>
            <w:tcW w:w="2865" w:type="dxa"/>
            <w:tcBorders>
              <w:top w:val="nil"/>
              <w:left w:val="nil"/>
              <w:bottom w:val="single" w:sz="6" w:space="0" w:color="auto"/>
              <w:right w:val="nil"/>
            </w:tcBorders>
          </w:tcPr>
          <w:p w14:paraId="21F48EE9"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709" w:type="dxa"/>
            <w:tcBorders>
              <w:top w:val="nil"/>
              <w:left w:val="nil"/>
              <w:bottom w:val="single" w:sz="6" w:space="0" w:color="auto"/>
              <w:right w:val="nil"/>
            </w:tcBorders>
          </w:tcPr>
          <w:p w14:paraId="3E1B51C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148" w:type="dxa"/>
            <w:tcBorders>
              <w:top w:val="nil"/>
              <w:left w:val="nil"/>
              <w:bottom w:val="single" w:sz="6" w:space="0" w:color="auto"/>
              <w:right w:val="nil"/>
            </w:tcBorders>
          </w:tcPr>
          <w:p w14:paraId="391DA7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nil"/>
              <w:left w:val="nil"/>
              <w:bottom w:val="single" w:sz="6" w:space="0" w:color="auto"/>
              <w:right w:val="nil"/>
            </w:tcBorders>
            <w:shd w:val="solid" w:color="C0C0C0" w:fill="auto"/>
          </w:tcPr>
          <w:p w14:paraId="41B828E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843" w:type="dxa"/>
            <w:tcBorders>
              <w:top w:val="nil"/>
              <w:left w:val="nil"/>
              <w:bottom w:val="single" w:sz="6" w:space="0" w:color="auto"/>
              <w:right w:val="nil"/>
            </w:tcBorders>
            <w:shd w:val="solid" w:color="C0C0C0" w:fill="auto"/>
          </w:tcPr>
          <w:p w14:paraId="5106888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5F144D66" w14:textId="77777777" w:rsidTr="00CA7A64">
        <w:trPr>
          <w:trHeight w:val="142"/>
        </w:trPr>
        <w:tc>
          <w:tcPr>
            <w:tcW w:w="2865" w:type="dxa"/>
            <w:tcBorders>
              <w:top w:val="single" w:sz="6" w:space="0" w:color="auto"/>
              <w:left w:val="nil"/>
              <w:bottom w:val="nil"/>
              <w:right w:val="nil"/>
            </w:tcBorders>
          </w:tcPr>
          <w:p w14:paraId="211378A8"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Employee Benefits</w:t>
            </w:r>
          </w:p>
        </w:tc>
        <w:tc>
          <w:tcPr>
            <w:tcW w:w="709" w:type="dxa"/>
            <w:tcBorders>
              <w:top w:val="single" w:sz="6" w:space="0" w:color="auto"/>
              <w:left w:val="nil"/>
              <w:bottom w:val="nil"/>
              <w:right w:val="nil"/>
            </w:tcBorders>
          </w:tcPr>
          <w:p w14:paraId="03088C7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148" w:type="dxa"/>
            <w:tcBorders>
              <w:top w:val="single" w:sz="6" w:space="0" w:color="auto"/>
              <w:left w:val="nil"/>
              <w:bottom w:val="nil"/>
              <w:right w:val="nil"/>
            </w:tcBorders>
          </w:tcPr>
          <w:p w14:paraId="7A00997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single" w:sz="6" w:space="0" w:color="auto"/>
              <w:left w:val="nil"/>
              <w:bottom w:val="nil"/>
              <w:right w:val="nil"/>
            </w:tcBorders>
          </w:tcPr>
          <w:p w14:paraId="040DA4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single" w:sz="6" w:space="0" w:color="auto"/>
              <w:left w:val="nil"/>
              <w:bottom w:val="nil"/>
              <w:right w:val="nil"/>
            </w:tcBorders>
          </w:tcPr>
          <w:p w14:paraId="1A5F8F9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2B7CDC0F" w14:textId="77777777" w:rsidTr="00CA7A64">
        <w:trPr>
          <w:trHeight w:val="142"/>
        </w:trPr>
        <w:tc>
          <w:tcPr>
            <w:tcW w:w="2865" w:type="dxa"/>
            <w:tcBorders>
              <w:top w:val="nil"/>
              <w:left w:val="nil"/>
              <w:bottom w:val="nil"/>
              <w:right w:val="nil"/>
            </w:tcBorders>
          </w:tcPr>
          <w:p w14:paraId="28EA2F1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Salaries</w:t>
            </w:r>
          </w:p>
        </w:tc>
        <w:tc>
          <w:tcPr>
            <w:tcW w:w="709" w:type="dxa"/>
            <w:tcBorders>
              <w:top w:val="nil"/>
              <w:left w:val="nil"/>
              <w:bottom w:val="nil"/>
              <w:right w:val="nil"/>
            </w:tcBorders>
          </w:tcPr>
          <w:p w14:paraId="3B1CD0C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5B8168A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0E99E2F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5,819,352</w:t>
            </w:r>
          </w:p>
        </w:tc>
        <w:tc>
          <w:tcPr>
            <w:tcW w:w="1843" w:type="dxa"/>
            <w:tcBorders>
              <w:top w:val="nil"/>
              <w:left w:val="nil"/>
              <w:bottom w:val="nil"/>
              <w:right w:val="nil"/>
            </w:tcBorders>
          </w:tcPr>
          <w:p w14:paraId="40A5961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6,198,255</w:t>
            </w:r>
          </w:p>
        </w:tc>
      </w:tr>
      <w:tr w:rsidR="000251CF" w:rsidRPr="000251CF" w14:paraId="28759B6A" w14:textId="77777777" w:rsidTr="00CA7A64">
        <w:trPr>
          <w:trHeight w:val="142"/>
        </w:trPr>
        <w:tc>
          <w:tcPr>
            <w:tcW w:w="2865" w:type="dxa"/>
            <w:tcBorders>
              <w:top w:val="nil"/>
              <w:left w:val="nil"/>
              <w:bottom w:val="nil"/>
              <w:right w:val="nil"/>
            </w:tcBorders>
          </w:tcPr>
          <w:p w14:paraId="7012F92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Annual Leave</w:t>
            </w:r>
          </w:p>
        </w:tc>
        <w:tc>
          <w:tcPr>
            <w:tcW w:w="709" w:type="dxa"/>
            <w:tcBorders>
              <w:top w:val="nil"/>
              <w:left w:val="nil"/>
              <w:bottom w:val="nil"/>
              <w:right w:val="nil"/>
            </w:tcBorders>
          </w:tcPr>
          <w:p w14:paraId="22ED0E8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7B5253A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2061653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443,933</w:t>
            </w:r>
          </w:p>
        </w:tc>
        <w:tc>
          <w:tcPr>
            <w:tcW w:w="1843" w:type="dxa"/>
            <w:tcBorders>
              <w:top w:val="nil"/>
              <w:left w:val="nil"/>
              <w:bottom w:val="nil"/>
              <w:right w:val="nil"/>
            </w:tcBorders>
          </w:tcPr>
          <w:p w14:paraId="53741C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481,045</w:t>
            </w:r>
          </w:p>
        </w:tc>
      </w:tr>
      <w:tr w:rsidR="000251CF" w:rsidRPr="000251CF" w14:paraId="54EE4362" w14:textId="77777777" w:rsidTr="00CA7A64">
        <w:trPr>
          <w:trHeight w:val="142"/>
        </w:trPr>
        <w:tc>
          <w:tcPr>
            <w:tcW w:w="2865" w:type="dxa"/>
            <w:tcBorders>
              <w:top w:val="nil"/>
              <w:left w:val="nil"/>
              <w:bottom w:val="nil"/>
              <w:right w:val="nil"/>
            </w:tcBorders>
          </w:tcPr>
          <w:p w14:paraId="42D7E73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Sick Leave</w:t>
            </w:r>
          </w:p>
        </w:tc>
        <w:tc>
          <w:tcPr>
            <w:tcW w:w="709" w:type="dxa"/>
            <w:tcBorders>
              <w:top w:val="nil"/>
              <w:left w:val="nil"/>
              <w:bottom w:val="nil"/>
              <w:right w:val="nil"/>
            </w:tcBorders>
          </w:tcPr>
          <w:p w14:paraId="6FCEA55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65A9CB7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3DEEFA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128,299</w:t>
            </w:r>
          </w:p>
        </w:tc>
        <w:tc>
          <w:tcPr>
            <w:tcW w:w="1843" w:type="dxa"/>
            <w:tcBorders>
              <w:top w:val="nil"/>
              <w:left w:val="nil"/>
              <w:bottom w:val="nil"/>
              <w:right w:val="nil"/>
            </w:tcBorders>
          </w:tcPr>
          <w:p w14:paraId="1413C16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126,592</w:t>
            </w:r>
          </w:p>
        </w:tc>
      </w:tr>
      <w:tr w:rsidR="000251CF" w:rsidRPr="000251CF" w14:paraId="60297A23" w14:textId="77777777" w:rsidTr="00CA7A64">
        <w:trPr>
          <w:trHeight w:val="142"/>
        </w:trPr>
        <w:tc>
          <w:tcPr>
            <w:tcW w:w="5722" w:type="dxa"/>
            <w:gridSpan w:val="3"/>
            <w:tcBorders>
              <w:top w:val="nil"/>
              <w:left w:val="nil"/>
              <w:bottom w:val="nil"/>
              <w:right w:val="nil"/>
            </w:tcBorders>
          </w:tcPr>
          <w:p w14:paraId="539BF9B1"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Employer Superannuation Contributions</w:t>
            </w:r>
          </w:p>
        </w:tc>
        <w:tc>
          <w:tcPr>
            <w:tcW w:w="1843" w:type="dxa"/>
            <w:tcBorders>
              <w:top w:val="nil"/>
              <w:left w:val="nil"/>
              <w:bottom w:val="nil"/>
              <w:right w:val="nil"/>
            </w:tcBorders>
          </w:tcPr>
          <w:p w14:paraId="21C6D52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595,560</w:t>
            </w:r>
          </w:p>
        </w:tc>
        <w:tc>
          <w:tcPr>
            <w:tcW w:w="1843" w:type="dxa"/>
            <w:tcBorders>
              <w:top w:val="nil"/>
              <w:left w:val="nil"/>
              <w:bottom w:val="nil"/>
              <w:right w:val="nil"/>
            </w:tcBorders>
          </w:tcPr>
          <w:p w14:paraId="63EB97C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647,046</w:t>
            </w:r>
          </w:p>
        </w:tc>
      </w:tr>
      <w:tr w:rsidR="000251CF" w:rsidRPr="000251CF" w14:paraId="711F18C2" w14:textId="77777777" w:rsidTr="00CA7A64">
        <w:trPr>
          <w:trHeight w:val="151"/>
        </w:trPr>
        <w:tc>
          <w:tcPr>
            <w:tcW w:w="5722" w:type="dxa"/>
            <w:gridSpan w:val="3"/>
            <w:tcBorders>
              <w:top w:val="nil"/>
              <w:left w:val="nil"/>
              <w:bottom w:val="nil"/>
              <w:right w:val="nil"/>
            </w:tcBorders>
          </w:tcPr>
          <w:p w14:paraId="323F854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Long Service Leave Central Scheme Levy</w:t>
            </w:r>
          </w:p>
        </w:tc>
        <w:tc>
          <w:tcPr>
            <w:tcW w:w="1843" w:type="dxa"/>
            <w:tcBorders>
              <w:top w:val="nil"/>
              <w:left w:val="nil"/>
              <w:bottom w:val="nil"/>
              <w:right w:val="nil"/>
            </w:tcBorders>
          </w:tcPr>
          <w:p w14:paraId="49E9CD1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133,429</w:t>
            </w:r>
          </w:p>
        </w:tc>
        <w:tc>
          <w:tcPr>
            <w:tcW w:w="1843" w:type="dxa"/>
            <w:tcBorders>
              <w:top w:val="nil"/>
              <w:left w:val="nil"/>
              <w:bottom w:val="nil"/>
              <w:right w:val="nil"/>
            </w:tcBorders>
          </w:tcPr>
          <w:p w14:paraId="296DB75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147,170</w:t>
            </w:r>
          </w:p>
        </w:tc>
      </w:tr>
      <w:tr w:rsidR="000251CF" w:rsidRPr="000251CF" w14:paraId="40BF0D8E" w14:textId="77777777" w:rsidTr="00CA7A64">
        <w:trPr>
          <w:trHeight w:val="151"/>
        </w:trPr>
        <w:tc>
          <w:tcPr>
            <w:tcW w:w="3574" w:type="dxa"/>
            <w:gridSpan w:val="2"/>
            <w:tcBorders>
              <w:top w:val="nil"/>
              <w:left w:val="nil"/>
              <w:bottom w:val="nil"/>
              <w:right w:val="nil"/>
            </w:tcBorders>
          </w:tcPr>
          <w:p w14:paraId="5105C55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Employee Related Expenses</w:t>
            </w:r>
          </w:p>
        </w:tc>
        <w:tc>
          <w:tcPr>
            <w:tcW w:w="2148" w:type="dxa"/>
            <w:tcBorders>
              <w:top w:val="nil"/>
              <w:left w:val="nil"/>
              <w:bottom w:val="nil"/>
              <w:right w:val="nil"/>
            </w:tcBorders>
          </w:tcPr>
          <w:p w14:paraId="6571301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424DC74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3CE1E29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7811872C" w14:textId="77777777" w:rsidTr="00CA7A64">
        <w:trPr>
          <w:trHeight w:val="151"/>
        </w:trPr>
        <w:tc>
          <w:tcPr>
            <w:tcW w:w="2865" w:type="dxa"/>
            <w:tcBorders>
              <w:top w:val="nil"/>
              <w:left w:val="nil"/>
              <w:bottom w:val="nil"/>
              <w:right w:val="nil"/>
            </w:tcBorders>
          </w:tcPr>
          <w:p w14:paraId="7C77D1B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Payroll tax</w:t>
            </w:r>
          </w:p>
        </w:tc>
        <w:tc>
          <w:tcPr>
            <w:tcW w:w="709" w:type="dxa"/>
            <w:tcBorders>
              <w:top w:val="nil"/>
              <w:left w:val="nil"/>
              <w:bottom w:val="nil"/>
              <w:right w:val="nil"/>
            </w:tcBorders>
          </w:tcPr>
          <w:p w14:paraId="1BB5E84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2C9C8A4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0C720FF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334,029</w:t>
            </w:r>
          </w:p>
        </w:tc>
        <w:tc>
          <w:tcPr>
            <w:tcW w:w="1843" w:type="dxa"/>
            <w:tcBorders>
              <w:top w:val="nil"/>
              <w:left w:val="nil"/>
              <w:bottom w:val="nil"/>
              <w:right w:val="nil"/>
            </w:tcBorders>
          </w:tcPr>
          <w:p w14:paraId="0EDAB9A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379,283</w:t>
            </w:r>
          </w:p>
        </w:tc>
      </w:tr>
      <w:tr w:rsidR="000251CF" w:rsidRPr="000251CF" w14:paraId="6C19439E" w14:textId="77777777" w:rsidTr="00CA7A64">
        <w:trPr>
          <w:trHeight w:val="151"/>
        </w:trPr>
        <w:tc>
          <w:tcPr>
            <w:tcW w:w="2865" w:type="dxa"/>
            <w:tcBorders>
              <w:top w:val="nil"/>
              <w:left w:val="nil"/>
              <w:bottom w:val="nil"/>
              <w:right w:val="nil"/>
            </w:tcBorders>
          </w:tcPr>
          <w:p w14:paraId="537B89B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Staff Training Costs</w:t>
            </w:r>
          </w:p>
        </w:tc>
        <w:tc>
          <w:tcPr>
            <w:tcW w:w="709" w:type="dxa"/>
            <w:tcBorders>
              <w:top w:val="nil"/>
              <w:left w:val="nil"/>
              <w:bottom w:val="nil"/>
              <w:right w:val="nil"/>
            </w:tcBorders>
          </w:tcPr>
          <w:p w14:paraId="455EE62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64B05A9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5C90D0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37,960</w:t>
            </w:r>
          </w:p>
        </w:tc>
        <w:tc>
          <w:tcPr>
            <w:tcW w:w="1843" w:type="dxa"/>
            <w:tcBorders>
              <w:top w:val="nil"/>
              <w:left w:val="nil"/>
              <w:bottom w:val="nil"/>
              <w:right w:val="nil"/>
            </w:tcBorders>
          </w:tcPr>
          <w:p w14:paraId="3A9B1FA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87,224</w:t>
            </w:r>
          </w:p>
        </w:tc>
      </w:tr>
      <w:tr w:rsidR="000251CF" w:rsidRPr="000251CF" w14:paraId="555FD4F1" w14:textId="77777777" w:rsidTr="00CA7A64">
        <w:trPr>
          <w:trHeight w:val="151"/>
        </w:trPr>
        <w:tc>
          <w:tcPr>
            <w:tcW w:w="2865" w:type="dxa"/>
            <w:tcBorders>
              <w:top w:val="nil"/>
              <w:left w:val="nil"/>
              <w:bottom w:val="nil"/>
              <w:right w:val="nil"/>
            </w:tcBorders>
          </w:tcPr>
          <w:p w14:paraId="2044065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Staff Recruitment Costs</w:t>
            </w:r>
          </w:p>
        </w:tc>
        <w:tc>
          <w:tcPr>
            <w:tcW w:w="709" w:type="dxa"/>
            <w:tcBorders>
              <w:top w:val="nil"/>
              <w:left w:val="nil"/>
              <w:bottom w:val="nil"/>
              <w:right w:val="nil"/>
            </w:tcBorders>
          </w:tcPr>
          <w:p w14:paraId="6CB376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3BE11F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466FAB3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36,326</w:t>
            </w:r>
          </w:p>
        </w:tc>
        <w:tc>
          <w:tcPr>
            <w:tcW w:w="1843" w:type="dxa"/>
            <w:tcBorders>
              <w:top w:val="nil"/>
              <w:left w:val="nil"/>
              <w:bottom w:val="nil"/>
              <w:right w:val="nil"/>
            </w:tcBorders>
          </w:tcPr>
          <w:p w14:paraId="4507C00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r>
      <w:tr w:rsidR="000251CF" w:rsidRPr="000251CF" w14:paraId="5B79D783" w14:textId="77777777" w:rsidTr="00CA7A64">
        <w:trPr>
          <w:trHeight w:val="151"/>
        </w:trPr>
        <w:tc>
          <w:tcPr>
            <w:tcW w:w="2865" w:type="dxa"/>
            <w:tcBorders>
              <w:top w:val="nil"/>
              <w:left w:val="nil"/>
              <w:bottom w:val="nil"/>
              <w:right w:val="nil"/>
            </w:tcBorders>
          </w:tcPr>
          <w:p w14:paraId="5879050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 Staff Expenses</w:t>
            </w:r>
          </w:p>
        </w:tc>
        <w:tc>
          <w:tcPr>
            <w:tcW w:w="709" w:type="dxa"/>
            <w:tcBorders>
              <w:top w:val="nil"/>
              <w:left w:val="nil"/>
              <w:bottom w:val="nil"/>
              <w:right w:val="nil"/>
            </w:tcBorders>
          </w:tcPr>
          <w:p w14:paraId="35C3CC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2148" w:type="dxa"/>
            <w:tcBorders>
              <w:top w:val="nil"/>
              <w:left w:val="nil"/>
              <w:bottom w:val="nil"/>
              <w:right w:val="nil"/>
            </w:tcBorders>
          </w:tcPr>
          <w:p w14:paraId="33821E4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21D0AEB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25,383</w:t>
            </w:r>
          </w:p>
        </w:tc>
        <w:tc>
          <w:tcPr>
            <w:tcW w:w="1843" w:type="dxa"/>
            <w:tcBorders>
              <w:top w:val="nil"/>
              <w:left w:val="nil"/>
              <w:bottom w:val="nil"/>
              <w:right w:val="nil"/>
            </w:tcBorders>
          </w:tcPr>
          <w:p w14:paraId="5DCB4DF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26,533</w:t>
            </w:r>
          </w:p>
        </w:tc>
      </w:tr>
      <w:tr w:rsidR="000251CF" w:rsidRPr="000251CF" w14:paraId="6B6B767A" w14:textId="77777777" w:rsidTr="00CA7A64">
        <w:trPr>
          <w:trHeight w:val="151"/>
        </w:trPr>
        <w:tc>
          <w:tcPr>
            <w:tcW w:w="3574" w:type="dxa"/>
            <w:gridSpan w:val="2"/>
            <w:tcBorders>
              <w:top w:val="nil"/>
              <w:left w:val="nil"/>
              <w:bottom w:val="nil"/>
              <w:right w:val="nil"/>
            </w:tcBorders>
          </w:tcPr>
          <w:p w14:paraId="6C4DA8E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Workers Compensation Premium</w:t>
            </w:r>
          </w:p>
        </w:tc>
        <w:tc>
          <w:tcPr>
            <w:tcW w:w="2148" w:type="dxa"/>
            <w:tcBorders>
              <w:top w:val="nil"/>
              <w:left w:val="nil"/>
              <w:bottom w:val="nil"/>
              <w:right w:val="nil"/>
            </w:tcBorders>
          </w:tcPr>
          <w:p w14:paraId="7A56CBB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843" w:type="dxa"/>
            <w:tcBorders>
              <w:top w:val="nil"/>
              <w:left w:val="nil"/>
              <w:bottom w:val="nil"/>
              <w:right w:val="nil"/>
            </w:tcBorders>
          </w:tcPr>
          <w:p w14:paraId="6ED10A4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17,224</w:t>
            </w:r>
          </w:p>
        </w:tc>
        <w:tc>
          <w:tcPr>
            <w:tcW w:w="1843" w:type="dxa"/>
            <w:tcBorders>
              <w:top w:val="nil"/>
              <w:left w:val="nil"/>
              <w:bottom w:val="nil"/>
              <w:right w:val="nil"/>
            </w:tcBorders>
          </w:tcPr>
          <w:p w14:paraId="64855DC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17,535</w:t>
            </w:r>
          </w:p>
        </w:tc>
      </w:tr>
      <w:tr w:rsidR="000251CF" w:rsidRPr="000251CF" w14:paraId="129C9B59" w14:textId="77777777" w:rsidTr="00CA7A64">
        <w:trPr>
          <w:trHeight w:val="151"/>
        </w:trPr>
        <w:tc>
          <w:tcPr>
            <w:tcW w:w="2865" w:type="dxa"/>
            <w:tcBorders>
              <w:top w:val="nil"/>
              <w:left w:val="nil"/>
              <w:bottom w:val="nil"/>
              <w:right w:val="nil"/>
            </w:tcBorders>
          </w:tcPr>
          <w:p w14:paraId="14AD28B3"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709" w:type="dxa"/>
            <w:tcBorders>
              <w:top w:val="nil"/>
              <w:left w:val="nil"/>
              <w:bottom w:val="nil"/>
              <w:right w:val="nil"/>
            </w:tcBorders>
          </w:tcPr>
          <w:p w14:paraId="51FF109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148" w:type="dxa"/>
            <w:tcBorders>
              <w:top w:val="nil"/>
              <w:left w:val="nil"/>
              <w:bottom w:val="nil"/>
              <w:right w:val="nil"/>
            </w:tcBorders>
          </w:tcPr>
          <w:p w14:paraId="412CB8E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nil"/>
              <w:left w:val="nil"/>
              <w:bottom w:val="nil"/>
              <w:right w:val="nil"/>
            </w:tcBorders>
          </w:tcPr>
          <w:p w14:paraId="6BBEC21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7,571,495</w:t>
            </w:r>
          </w:p>
        </w:tc>
        <w:tc>
          <w:tcPr>
            <w:tcW w:w="1843" w:type="dxa"/>
            <w:tcBorders>
              <w:top w:val="nil"/>
              <w:left w:val="nil"/>
              <w:bottom w:val="nil"/>
              <w:right w:val="nil"/>
            </w:tcBorders>
          </w:tcPr>
          <w:p w14:paraId="102911C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8,110,683</w:t>
            </w:r>
          </w:p>
        </w:tc>
      </w:tr>
      <w:tr w:rsidR="000251CF" w:rsidRPr="000251CF" w14:paraId="363A6CEB" w14:textId="77777777" w:rsidTr="00CA7A64">
        <w:trPr>
          <w:trHeight w:val="151"/>
        </w:trPr>
        <w:tc>
          <w:tcPr>
            <w:tcW w:w="2865" w:type="dxa"/>
            <w:tcBorders>
              <w:top w:val="nil"/>
              <w:left w:val="nil"/>
              <w:bottom w:val="nil"/>
              <w:right w:val="nil"/>
            </w:tcBorders>
          </w:tcPr>
          <w:p w14:paraId="1D006FD0"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709" w:type="dxa"/>
            <w:tcBorders>
              <w:top w:val="nil"/>
              <w:left w:val="nil"/>
              <w:bottom w:val="nil"/>
              <w:right w:val="nil"/>
            </w:tcBorders>
          </w:tcPr>
          <w:p w14:paraId="34CE47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2148" w:type="dxa"/>
            <w:tcBorders>
              <w:top w:val="nil"/>
              <w:left w:val="nil"/>
              <w:bottom w:val="nil"/>
              <w:right w:val="nil"/>
            </w:tcBorders>
          </w:tcPr>
          <w:p w14:paraId="688D16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nil"/>
              <w:left w:val="nil"/>
              <w:bottom w:val="nil"/>
              <w:right w:val="nil"/>
            </w:tcBorders>
          </w:tcPr>
          <w:p w14:paraId="07B1DD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43" w:type="dxa"/>
            <w:tcBorders>
              <w:top w:val="nil"/>
              <w:left w:val="nil"/>
              <w:bottom w:val="nil"/>
              <w:right w:val="nil"/>
            </w:tcBorders>
          </w:tcPr>
          <w:p w14:paraId="4D9A5EF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0FC2AF93" w14:textId="77777777" w:rsidTr="00CA7A64">
        <w:trPr>
          <w:trHeight w:val="151"/>
        </w:trPr>
        <w:tc>
          <w:tcPr>
            <w:tcW w:w="5722" w:type="dxa"/>
            <w:gridSpan w:val="3"/>
            <w:tcBorders>
              <w:top w:val="nil"/>
              <w:left w:val="nil"/>
              <w:bottom w:val="nil"/>
              <w:right w:val="nil"/>
            </w:tcBorders>
          </w:tcPr>
          <w:p w14:paraId="7A7153E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The number of employees including both full time employees and part time employees measured on a </w:t>
            </w:r>
            <w:proofErr w:type="gramStart"/>
            <w:r w:rsidRPr="000251CF">
              <w:rPr>
                <w:rFonts w:ascii="Tahoma" w:eastAsia="Times New Roman" w:hAnsi="Tahoma" w:cs="Tahoma"/>
                <w:color w:val="000000"/>
                <w:sz w:val="16"/>
                <w:szCs w:val="16"/>
              </w:rPr>
              <w:t>full time</w:t>
            </w:r>
            <w:proofErr w:type="gramEnd"/>
            <w:r w:rsidRPr="000251CF">
              <w:rPr>
                <w:rFonts w:ascii="Tahoma" w:eastAsia="Times New Roman" w:hAnsi="Tahoma" w:cs="Tahoma"/>
                <w:color w:val="000000"/>
                <w:sz w:val="16"/>
                <w:szCs w:val="16"/>
              </w:rPr>
              <w:t xml:space="preserve"> equivalent basis at the end of each year is:</w:t>
            </w:r>
            <w:r w:rsidRPr="000251CF">
              <w:rPr>
                <w:rFonts w:ascii="Tahoma" w:eastAsia="Times New Roman" w:hAnsi="Tahoma" w:cs="Tahoma"/>
                <w:color w:val="000000"/>
                <w:sz w:val="16"/>
                <w:szCs w:val="16"/>
              </w:rPr>
              <w:tab/>
            </w:r>
            <w:r w:rsidRPr="000251CF">
              <w:rPr>
                <w:rFonts w:ascii="Tahoma" w:eastAsia="Times New Roman" w:hAnsi="Tahoma" w:cs="Tahoma"/>
                <w:color w:val="000000"/>
                <w:sz w:val="16"/>
                <w:szCs w:val="16"/>
              </w:rPr>
              <w:tab/>
            </w:r>
            <w:r w:rsidRPr="000251CF">
              <w:rPr>
                <w:rFonts w:ascii="Tahoma" w:eastAsia="Times New Roman" w:hAnsi="Tahoma" w:cs="Tahoma"/>
                <w:color w:val="000000"/>
                <w:sz w:val="16"/>
                <w:szCs w:val="16"/>
              </w:rPr>
              <w:tab/>
            </w:r>
          </w:p>
        </w:tc>
        <w:tc>
          <w:tcPr>
            <w:tcW w:w="1843" w:type="dxa"/>
            <w:tcBorders>
              <w:top w:val="nil"/>
              <w:left w:val="nil"/>
              <w:bottom w:val="nil"/>
              <w:right w:val="nil"/>
            </w:tcBorders>
          </w:tcPr>
          <w:p w14:paraId="68ABB6C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43.5</w:t>
            </w:r>
          </w:p>
        </w:tc>
        <w:tc>
          <w:tcPr>
            <w:tcW w:w="1843" w:type="dxa"/>
            <w:tcBorders>
              <w:top w:val="nil"/>
              <w:left w:val="nil"/>
              <w:bottom w:val="nil"/>
              <w:right w:val="nil"/>
            </w:tcBorders>
          </w:tcPr>
          <w:p w14:paraId="1E8FDA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46.5</w:t>
            </w:r>
          </w:p>
        </w:tc>
      </w:tr>
    </w:tbl>
    <w:p w14:paraId="3AD65B84" w14:textId="77777777" w:rsidR="000251CF" w:rsidRPr="000251CF" w:rsidRDefault="000251CF" w:rsidP="000251CF">
      <w:pPr>
        <w:spacing w:before="0" w:after="0" w:line="240" w:lineRule="auto"/>
        <w:rPr>
          <w:rFonts w:ascii="Calibri" w:eastAsia="Times New Roman" w:hAnsi="Calibri" w:cs="Times New Roman"/>
          <w:szCs w:val="20"/>
        </w:rPr>
      </w:pPr>
    </w:p>
    <w:p w14:paraId="4C81AADF"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Accounting Policies</w:t>
      </w:r>
    </w:p>
    <w:p w14:paraId="258517A3"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szCs w:val="20"/>
          <w:u w:val="single"/>
        </w:rPr>
        <w:t>Salaries and sick leave</w:t>
      </w:r>
    </w:p>
    <w:p w14:paraId="7DE88DE5"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Salaries due but unpaid at the reporting date are recognised in the Statement of Financial Position at the current salary rates. As the QCA expects such liabilities to be wholly settled within 12 months of reporting date, the liabilities are recognised at undiscounted amounts.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5D98878C"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As sick leave is non-vesting, an expense is recognised for this leave as it is taken.</w:t>
      </w:r>
      <w:r w:rsidRPr="000251CF">
        <w:rPr>
          <w:rFonts w:ascii="Calibri" w:eastAsia="Times New Roman" w:hAnsi="Calibri" w:cs="Times New Roman"/>
          <w:szCs w:val="20"/>
        </w:rPr>
        <w:tab/>
      </w:r>
    </w:p>
    <w:p w14:paraId="3F94DB5A"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szCs w:val="20"/>
          <w:u w:val="single"/>
        </w:rPr>
        <w:t>Annual and long service leave</w:t>
      </w:r>
    </w:p>
    <w:p w14:paraId="4CAFEF33" w14:textId="4F32DB12"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Annual leave liabilities are accounted for as </w:t>
      </w:r>
      <w:proofErr w:type="gramStart"/>
      <w:r w:rsidRPr="000251CF">
        <w:rPr>
          <w:rFonts w:ascii="Calibri" w:eastAsia="Times New Roman" w:hAnsi="Calibri" w:cs="Times New Roman"/>
          <w:szCs w:val="20"/>
        </w:rPr>
        <w:t>short term</w:t>
      </w:r>
      <w:proofErr w:type="gramEnd"/>
      <w:r w:rsidRPr="000251CF">
        <w:rPr>
          <w:rFonts w:ascii="Calibri" w:eastAsia="Times New Roman" w:hAnsi="Calibri" w:cs="Times New Roman"/>
          <w:szCs w:val="20"/>
        </w:rPr>
        <w:t xml:space="preserve"> employee benefits and are presented as current liabilities as QCA does not have an unconditional right to defer payment for at least 12 months after the end of the reporting period. Annual leave liabilities are measured at the present value of the expected future payments to be made to employees. Expected future payments </w:t>
      </w:r>
      <w:proofErr w:type="gramStart"/>
      <w:r w:rsidRPr="000251CF">
        <w:rPr>
          <w:rFonts w:ascii="Calibri" w:eastAsia="Times New Roman" w:hAnsi="Calibri" w:cs="Times New Roman"/>
          <w:szCs w:val="20"/>
        </w:rPr>
        <w:t>take into account</w:t>
      </w:r>
      <w:proofErr w:type="gramEnd"/>
      <w:r w:rsidRPr="000251CF">
        <w:rPr>
          <w:rFonts w:ascii="Calibri" w:eastAsia="Times New Roman" w:hAnsi="Calibri" w:cs="Times New Roman"/>
          <w:szCs w:val="20"/>
        </w:rPr>
        <w:t xml:space="preserve"> anticipated future salaries and anticipated future leave requirements of staff. These are discounted at rates at the end of the reporting period on government bond rates at the end of the reporting period that coincides with the expected timing of estimated future payments.</w:t>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47859C3"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All directly associated on-costs (for example employer superannuation contributions, payroll tax and worker's compensation insurance) are also recognised as liabilities.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68184655"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The QCA joined the State Government's Long Service Leave Central Scheme (the Scheme) from 1 July 2002.  Under the Scheme, a levy is made on the QCA to cover this expense.  Amounts paid to employees for long service leave are claimed from the Scheme quarterly in arrears.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064F2970" w14:textId="6D0B0E1D"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No provision for long service leave is recognised in the Financial Statements from 1 July 2002, the liability being held on a whole-of-Government basis and reported in those financial statements pursuant to AASB 1049 Whole of Government and General Government Sector Financial Reporting.</w:t>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5F55926"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szCs w:val="20"/>
          <w:u w:val="single"/>
        </w:rPr>
        <w:t>Staff Retention Scheme</w:t>
      </w:r>
    </w:p>
    <w:p w14:paraId="5069C7C4"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Included in accrued employee benefits is the amount payable to staff under the QCA's staff retention scheme. Eligible staff are entitled to a payment following continuous service to the QCA after three and after six years. The amount recognised is measured at the present value of the expected future payments to be made to employees. Expected future payments incorporate estimates of future salaries, duration of current service and probability of employee turnover and are discounted at rates at the end of the reporting period on government bond rates. Upon measurement of obligations under the staff retention scheme, the net obligation is recognised in profit or loss as part of employee benefits expense.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0521968E" w14:textId="77777777" w:rsidR="000251CF" w:rsidRPr="000251CF" w:rsidRDefault="000251CF" w:rsidP="000251CF">
      <w:pPr>
        <w:spacing w:before="0" w:after="0" w:line="240" w:lineRule="auto"/>
        <w:rPr>
          <w:rFonts w:ascii="Calibri" w:eastAsia="Times New Roman" w:hAnsi="Calibri" w:cs="Times New Roman"/>
          <w:szCs w:val="20"/>
          <w:u w:val="single"/>
        </w:rPr>
      </w:pPr>
      <w:r w:rsidRPr="000251CF">
        <w:rPr>
          <w:rFonts w:ascii="Calibri" w:eastAsia="Times New Roman" w:hAnsi="Calibri" w:cs="Times New Roman"/>
          <w:szCs w:val="20"/>
          <w:u w:val="single"/>
        </w:rPr>
        <w:t>Superannuation</w:t>
      </w:r>
    </w:p>
    <w:p w14:paraId="74996BB9"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Contributions to superannuation meet the minimum requirements of the </w:t>
      </w:r>
      <w:r w:rsidRPr="000251CF">
        <w:rPr>
          <w:rFonts w:ascii="Calibri" w:eastAsia="Times New Roman" w:hAnsi="Calibri" w:cs="Times New Roman"/>
          <w:i/>
          <w:iCs/>
          <w:szCs w:val="20"/>
        </w:rPr>
        <w:t>Superannuation Guarantee (Administration) Act 1992</w:t>
      </w:r>
      <w:r w:rsidRPr="000251CF">
        <w:rPr>
          <w:rFonts w:ascii="Calibri" w:eastAsia="Times New Roman" w:hAnsi="Calibri" w:cs="Times New Roman"/>
          <w:szCs w:val="20"/>
        </w:rPr>
        <w:t>. Contributions to employees' superannuation plans are charged as an expense as the contributions are paid or become payable. Employees of the QCA may elect to be members of QSuper or any other complying superannuation fund.</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3CC68381"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szCs w:val="20"/>
        </w:rPr>
        <w:br w:type="page"/>
      </w:r>
    </w:p>
    <w:p w14:paraId="26AFC9E6" w14:textId="77777777" w:rsidR="000251CF" w:rsidRPr="000251CF" w:rsidRDefault="000251CF" w:rsidP="000251CF">
      <w:pPr>
        <w:spacing w:before="0" w:after="0" w:line="240" w:lineRule="auto"/>
        <w:rPr>
          <w:rFonts w:ascii="Calibri" w:eastAsia="Times New Roman" w:hAnsi="Calibri" w:cs="Times New Roman"/>
          <w:szCs w:val="20"/>
        </w:rPr>
      </w:pPr>
      <w:r w:rsidRPr="000251CF">
        <w:rPr>
          <w:rFonts w:ascii="Calibri" w:eastAsia="Times New Roman" w:hAnsi="Calibri" w:cs="Times New Roman"/>
          <w:szCs w:val="20"/>
          <w:u w:val="single"/>
        </w:rPr>
        <w:lastRenderedPageBreak/>
        <w:t>Other Employee Related Expenses</w:t>
      </w:r>
    </w:p>
    <w:p w14:paraId="40E154D2"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Payroll tax and workers' compensation insurance are a consequence of employing </w:t>
      </w:r>
      <w:proofErr w:type="gramStart"/>
      <w:r w:rsidRPr="000251CF">
        <w:rPr>
          <w:rFonts w:ascii="Calibri" w:eastAsia="Times New Roman" w:hAnsi="Calibri" w:cs="Times New Roman"/>
          <w:szCs w:val="20"/>
        </w:rPr>
        <w:t>employees, but</w:t>
      </w:r>
      <w:proofErr w:type="gramEnd"/>
      <w:r w:rsidRPr="000251CF">
        <w:rPr>
          <w:rFonts w:ascii="Calibri" w:eastAsia="Times New Roman" w:hAnsi="Calibri" w:cs="Times New Roman"/>
          <w:szCs w:val="20"/>
        </w:rPr>
        <w:t xml:space="preserve"> are not counted in an employee's total remuneration package. They are not employee benefits and are recognised separately as employee related expenses.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F7FD515"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Note 6:</w:t>
      </w:r>
    </w:p>
    <w:p w14:paraId="061E4379" w14:textId="77777777" w:rsidR="000251CF" w:rsidRPr="000251CF" w:rsidRDefault="000251CF" w:rsidP="000251CF">
      <w:pPr>
        <w:keepNext/>
        <w:keepLines/>
        <w:tabs>
          <w:tab w:val="right" w:pos="9106"/>
        </w:tabs>
        <w:spacing w:before="0" w:after="60" w:line="240" w:lineRule="auto"/>
        <w:outlineLvl w:val="4"/>
        <w:rPr>
          <w:rFonts w:ascii="Calibri" w:eastAsia="Times New Roman" w:hAnsi="Calibri" w:cs="Times New Roman"/>
          <w:b/>
          <w:bCs/>
          <w:iCs/>
          <w:color w:val="00A1E4"/>
        </w:rPr>
      </w:pPr>
      <w:r w:rsidRPr="000251CF">
        <w:rPr>
          <w:rFonts w:ascii="Calibri" w:eastAsia="Times New Roman" w:hAnsi="Calibri" w:cs="Times New Roman"/>
          <w:b/>
          <w:bCs/>
          <w:iCs/>
        </w:rPr>
        <w:t>Key Executive Management Personnel and Remuneration Expenses</w:t>
      </w:r>
    </w:p>
    <w:p w14:paraId="520F3F50"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The key executive management personnel that had authority and responsibility for planning, directing and controlling the activities of the QCA during 2020–21 </w:t>
      </w:r>
      <w:proofErr w:type="gramStart"/>
      <w:r w:rsidRPr="000251CF">
        <w:rPr>
          <w:rFonts w:ascii="Calibri" w:eastAsia="Times New Roman" w:hAnsi="Calibri" w:cs="Times New Roman"/>
          <w:szCs w:val="20"/>
        </w:rPr>
        <w:t>are</w:t>
      </w:r>
      <w:proofErr w:type="gramEnd"/>
      <w:r w:rsidRPr="000251CF">
        <w:rPr>
          <w:rFonts w:ascii="Calibri" w:eastAsia="Times New Roman" w:hAnsi="Calibri" w:cs="Times New Roman"/>
          <w:szCs w:val="20"/>
        </w:rPr>
        <w:t xml:space="preserve"> detailed below.  </w:t>
      </w:r>
      <w:r w:rsidRPr="000251CF">
        <w:rPr>
          <w:rFonts w:ascii="Calibri" w:eastAsia="Times New Roman" w:hAnsi="Calibri" w:cs="Times New Roman"/>
          <w:szCs w:val="20"/>
        </w:rPr>
        <w:tab/>
      </w:r>
    </w:p>
    <w:tbl>
      <w:tblPr>
        <w:tblW w:w="0" w:type="auto"/>
        <w:tblInd w:w="-38" w:type="dxa"/>
        <w:tblLayout w:type="fixed"/>
        <w:tblLook w:val="0000" w:firstRow="0" w:lastRow="0" w:firstColumn="0" w:lastColumn="0" w:noHBand="0" w:noVBand="0"/>
      </w:tblPr>
      <w:tblGrid>
        <w:gridCol w:w="1590"/>
        <w:gridCol w:w="982"/>
        <w:gridCol w:w="1058"/>
        <w:gridCol w:w="1087"/>
        <w:gridCol w:w="982"/>
        <w:gridCol w:w="1844"/>
        <w:gridCol w:w="1418"/>
      </w:tblGrid>
      <w:tr w:rsidR="000251CF" w:rsidRPr="000251CF" w14:paraId="25D90BE0" w14:textId="77777777" w:rsidTr="0088213C">
        <w:trPr>
          <w:trHeight w:val="142"/>
        </w:trPr>
        <w:tc>
          <w:tcPr>
            <w:tcW w:w="1590" w:type="dxa"/>
            <w:tcBorders>
              <w:top w:val="single" w:sz="6" w:space="0" w:color="auto"/>
              <w:left w:val="single" w:sz="6" w:space="0" w:color="auto"/>
              <w:bottom w:val="nil"/>
              <w:right w:val="single" w:sz="6" w:space="0" w:color="auto"/>
            </w:tcBorders>
            <w:shd w:val="clear" w:color="auto" w:fill="C0C0C0"/>
          </w:tcPr>
          <w:p w14:paraId="2DFCCF68"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Position</w:t>
            </w:r>
          </w:p>
        </w:tc>
        <w:tc>
          <w:tcPr>
            <w:tcW w:w="2040" w:type="dxa"/>
            <w:gridSpan w:val="2"/>
            <w:tcBorders>
              <w:top w:val="single" w:sz="6" w:space="0" w:color="auto"/>
              <w:left w:val="single" w:sz="6" w:space="0" w:color="auto"/>
              <w:bottom w:val="nil"/>
              <w:right w:val="nil"/>
            </w:tcBorders>
            <w:shd w:val="clear" w:color="auto" w:fill="C0C0C0"/>
          </w:tcPr>
          <w:p w14:paraId="56AD9F7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Responsibilities</w:t>
            </w:r>
          </w:p>
        </w:tc>
        <w:tc>
          <w:tcPr>
            <w:tcW w:w="1087" w:type="dxa"/>
            <w:tcBorders>
              <w:top w:val="single" w:sz="6" w:space="0" w:color="auto"/>
              <w:left w:val="nil"/>
              <w:bottom w:val="nil"/>
              <w:right w:val="nil"/>
            </w:tcBorders>
            <w:shd w:val="clear" w:color="auto" w:fill="C0C0C0"/>
          </w:tcPr>
          <w:p w14:paraId="5DCBC4D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982" w:type="dxa"/>
            <w:tcBorders>
              <w:top w:val="single" w:sz="6" w:space="0" w:color="auto"/>
              <w:left w:val="nil"/>
              <w:bottom w:val="nil"/>
              <w:right w:val="nil"/>
            </w:tcBorders>
            <w:shd w:val="clear" w:color="auto" w:fill="C0C0C0"/>
          </w:tcPr>
          <w:p w14:paraId="6D4C3F4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844" w:type="dxa"/>
            <w:tcBorders>
              <w:top w:val="single" w:sz="6" w:space="0" w:color="auto"/>
              <w:left w:val="nil"/>
              <w:bottom w:val="nil"/>
              <w:right w:val="single" w:sz="6" w:space="0" w:color="auto"/>
            </w:tcBorders>
            <w:shd w:val="clear" w:color="auto" w:fill="C0C0C0"/>
          </w:tcPr>
          <w:p w14:paraId="21257831"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8" w:type="dxa"/>
            <w:tcBorders>
              <w:top w:val="single" w:sz="6" w:space="0" w:color="auto"/>
              <w:left w:val="single" w:sz="6" w:space="0" w:color="auto"/>
              <w:bottom w:val="nil"/>
              <w:right w:val="single" w:sz="6" w:space="0" w:color="auto"/>
            </w:tcBorders>
            <w:shd w:val="clear" w:color="auto" w:fill="C0C0C0"/>
          </w:tcPr>
          <w:p w14:paraId="3580B62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438A7E26" w14:textId="77777777" w:rsidTr="0088213C">
        <w:trPr>
          <w:trHeight w:val="408"/>
        </w:trPr>
        <w:tc>
          <w:tcPr>
            <w:tcW w:w="1590" w:type="dxa"/>
            <w:tcBorders>
              <w:top w:val="nil"/>
              <w:left w:val="single" w:sz="6" w:space="0" w:color="auto"/>
              <w:bottom w:val="single" w:sz="6" w:space="0" w:color="auto"/>
              <w:right w:val="single" w:sz="6" w:space="0" w:color="auto"/>
            </w:tcBorders>
            <w:shd w:val="clear" w:color="auto" w:fill="C0C0C0"/>
          </w:tcPr>
          <w:p w14:paraId="12A9671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982" w:type="dxa"/>
            <w:tcBorders>
              <w:top w:val="nil"/>
              <w:left w:val="single" w:sz="6" w:space="0" w:color="auto"/>
              <w:bottom w:val="single" w:sz="6" w:space="0" w:color="auto"/>
              <w:right w:val="nil"/>
            </w:tcBorders>
            <w:shd w:val="clear" w:color="auto" w:fill="C0C0C0"/>
          </w:tcPr>
          <w:p w14:paraId="07E3D71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058" w:type="dxa"/>
            <w:tcBorders>
              <w:top w:val="nil"/>
              <w:left w:val="nil"/>
              <w:bottom w:val="single" w:sz="6" w:space="0" w:color="auto"/>
              <w:right w:val="nil"/>
            </w:tcBorders>
            <w:shd w:val="clear" w:color="auto" w:fill="C0C0C0"/>
          </w:tcPr>
          <w:p w14:paraId="4ABF2DA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087" w:type="dxa"/>
            <w:tcBorders>
              <w:top w:val="nil"/>
              <w:left w:val="nil"/>
              <w:bottom w:val="single" w:sz="6" w:space="0" w:color="auto"/>
              <w:right w:val="nil"/>
            </w:tcBorders>
            <w:shd w:val="clear" w:color="auto" w:fill="C0C0C0"/>
          </w:tcPr>
          <w:p w14:paraId="23471E2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982" w:type="dxa"/>
            <w:tcBorders>
              <w:top w:val="nil"/>
              <w:left w:val="nil"/>
              <w:bottom w:val="single" w:sz="6" w:space="0" w:color="auto"/>
              <w:right w:val="nil"/>
            </w:tcBorders>
            <w:shd w:val="clear" w:color="auto" w:fill="C0C0C0"/>
          </w:tcPr>
          <w:p w14:paraId="7A5CD11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844" w:type="dxa"/>
            <w:tcBorders>
              <w:top w:val="nil"/>
              <w:left w:val="nil"/>
              <w:bottom w:val="single" w:sz="6" w:space="0" w:color="auto"/>
              <w:right w:val="single" w:sz="6" w:space="0" w:color="auto"/>
            </w:tcBorders>
            <w:shd w:val="clear" w:color="auto" w:fill="C0C0C0"/>
          </w:tcPr>
          <w:p w14:paraId="55CEB3D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8" w:type="dxa"/>
            <w:tcBorders>
              <w:top w:val="nil"/>
              <w:left w:val="single" w:sz="6" w:space="0" w:color="auto"/>
              <w:bottom w:val="single" w:sz="6" w:space="0" w:color="auto"/>
              <w:right w:val="single" w:sz="6" w:space="0" w:color="auto"/>
            </w:tcBorders>
            <w:shd w:val="clear" w:color="auto" w:fill="C0C0C0"/>
          </w:tcPr>
          <w:p w14:paraId="75D6912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Contract Classification and Appointment Authority</w:t>
            </w:r>
          </w:p>
        </w:tc>
      </w:tr>
      <w:tr w:rsidR="000251CF" w:rsidRPr="000251CF" w14:paraId="3CB29B75" w14:textId="77777777" w:rsidTr="0088213C">
        <w:trPr>
          <w:trHeight w:val="408"/>
        </w:trPr>
        <w:tc>
          <w:tcPr>
            <w:tcW w:w="1590" w:type="dxa"/>
            <w:tcBorders>
              <w:top w:val="single" w:sz="6" w:space="0" w:color="auto"/>
              <w:left w:val="single" w:sz="6" w:space="0" w:color="auto"/>
              <w:bottom w:val="single" w:sz="6" w:space="0" w:color="auto"/>
              <w:right w:val="single" w:sz="6" w:space="0" w:color="auto"/>
            </w:tcBorders>
          </w:tcPr>
          <w:p w14:paraId="331645A8" w14:textId="3E0B49E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Chair</w:t>
            </w:r>
          </w:p>
        </w:tc>
        <w:tc>
          <w:tcPr>
            <w:tcW w:w="5953" w:type="dxa"/>
            <w:gridSpan w:val="5"/>
            <w:tcBorders>
              <w:top w:val="nil"/>
              <w:left w:val="single" w:sz="6" w:space="0" w:color="auto"/>
              <w:bottom w:val="single" w:sz="6" w:space="0" w:color="auto"/>
              <w:right w:val="single" w:sz="6" w:space="0" w:color="auto"/>
            </w:tcBorders>
          </w:tcPr>
          <w:p w14:paraId="787B0D4D" w14:textId="521EEDC5"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Members are collectively responsible for the Authority's duties and responsibilities, in accordance with the QCA Act.  The Chair is also responsible for the collegiate functioning of the members and Ministerial liaison.</w:t>
            </w:r>
          </w:p>
        </w:tc>
        <w:tc>
          <w:tcPr>
            <w:tcW w:w="1418" w:type="dxa"/>
            <w:tcBorders>
              <w:top w:val="single" w:sz="6" w:space="0" w:color="auto"/>
              <w:left w:val="single" w:sz="6" w:space="0" w:color="auto"/>
              <w:bottom w:val="single" w:sz="6" w:space="0" w:color="auto"/>
              <w:right w:val="single" w:sz="6" w:space="0" w:color="auto"/>
            </w:tcBorders>
          </w:tcPr>
          <w:p w14:paraId="23BA49E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i/>
                <w:iCs/>
                <w:color w:val="000000"/>
                <w:sz w:val="16"/>
                <w:szCs w:val="16"/>
              </w:rPr>
            </w:pPr>
            <w:r w:rsidRPr="000251CF">
              <w:rPr>
                <w:rFonts w:ascii="Tahoma" w:eastAsia="Times New Roman" w:hAnsi="Tahoma" w:cs="Tahoma"/>
                <w:color w:val="000000"/>
                <w:sz w:val="16"/>
                <w:szCs w:val="16"/>
              </w:rPr>
              <w:t>Governor in Council/</w:t>
            </w:r>
            <w:r w:rsidRPr="000251CF">
              <w:rPr>
                <w:rFonts w:ascii="Tahoma" w:eastAsia="Times New Roman" w:hAnsi="Tahoma" w:cs="Tahoma"/>
                <w:i/>
                <w:iCs/>
                <w:color w:val="000000"/>
                <w:sz w:val="16"/>
                <w:szCs w:val="16"/>
              </w:rPr>
              <w:t>QCA Act 1997</w:t>
            </w:r>
          </w:p>
        </w:tc>
      </w:tr>
      <w:tr w:rsidR="000251CF" w:rsidRPr="000251CF" w14:paraId="4A4B8E9D" w14:textId="77777777" w:rsidTr="0088213C">
        <w:trPr>
          <w:trHeight w:val="398"/>
        </w:trPr>
        <w:tc>
          <w:tcPr>
            <w:tcW w:w="1590" w:type="dxa"/>
            <w:tcBorders>
              <w:top w:val="single" w:sz="6" w:space="0" w:color="auto"/>
              <w:left w:val="single" w:sz="6" w:space="0" w:color="auto"/>
              <w:bottom w:val="single" w:sz="6" w:space="0" w:color="auto"/>
              <w:right w:val="single" w:sz="6" w:space="0" w:color="auto"/>
            </w:tcBorders>
          </w:tcPr>
          <w:p w14:paraId="2B029E3D" w14:textId="07948A04"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Deputy Chair</w:t>
            </w:r>
          </w:p>
        </w:tc>
        <w:tc>
          <w:tcPr>
            <w:tcW w:w="5953" w:type="dxa"/>
            <w:gridSpan w:val="5"/>
            <w:tcBorders>
              <w:top w:val="single" w:sz="6" w:space="0" w:color="auto"/>
              <w:left w:val="single" w:sz="6" w:space="0" w:color="auto"/>
              <w:bottom w:val="single" w:sz="6" w:space="0" w:color="auto"/>
              <w:right w:val="single" w:sz="6" w:space="0" w:color="auto"/>
            </w:tcBorders>
          </w:tcPr>
          <w:p w14:paraId="1E7D4F9F" w14:textId="23A22765"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Members are collectively responsible for the Authority's duties and responsibilities, in accordance with the QCA Act.  In the absence of the Chair, the Deputy </w:t>
            </w:r>
            <w:r w:rsidR="00670616">
              <w:rPr>
                <w:rFonts w:ascii="Tahoma" w:eastAsia="Times New Roman" w:hAnsi="Tahoma" w:cs="Tahoma"/>
                <w:color w:val="000000"/>
                <w:sz w:val="16"/>
                <w:szCs w:val="16"/>
              </w:rPr>
              <w:t>C</w:t>
            </w:r>
            <w:r w:rsidRPr="000251CF">
              <w:rPr>
                <w:rFonts w:ascii="Tahoma" w:eastAsia="Times New Roman" w:hAnsi="Tahoma" w:cs="Tahoma"/>
                <w:color w:val="000000"/>
                <w:sz w:val="16"/>
                <w:szCs w:val="16"/>
              </w:rPr>
              <w:t>hair assumes the Chair's responsibilities.</w:t>
            </w:r>
          </w:p>
        </w:tc>
        <w:tc>
          <w:tcPr>
            <w:tcW w:w="1418" w:type="dxa"/>
            <w:tcBorders>
              <w:top w:val="single" w:sz="6" w:space="0" w:color="auto"/>
              <w:left w:val="single" w:sz="6" w:space="0" w:color="auto"/>
              <w:bottom w:val="single" w:sz="6" w:space="0" w:color="auto"/>
              <w:right w:val="single" w:sz="6" w:space="0" w:color="auto"/>
            </w:tcBorders>
          </w:tcPr>
          <w:p w14:paraId="486448D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i/>
                <w:iCs/>
                <w:color w:val="000000"/>
                <w:sz w:val="16"/>
                <w:szCs w:val="16"/>
              </w:rPr>
            </w:pPr>
            <w:r w:rsidRPr="000251CF">
              <w:rPr>
                <w:rFonts w:ascii="Tahoma" w:eastAsia="Times New Roman" w:hAnsi="Tahoma" w:cs="Tahoma"/>
                <w:color w:val="000000"/>
                <w:sz w:val="16"/>
                <w:szCs w:val="16"/>
              </w:rPr>
              <w:t>Governor in Council/</w:t>
            </w:r>
            <w:r w:rsidRPr="000251CF">
              <w:rPr>
                <w:rFonts w:ascii="Tahoma" w:eastAsia="Times New Roman" w:hAnsi="Tahoma" w:cs="Tahoma"/>
                <w:i/>
                <w:iCs/>
                <w:color w:val="000000"/>
                <w:sz w:val="16"/>
                <w:szCs w:val="16"/>
              </w:rPr>
              <w:t>QCA Act 1997</w:t>
            </w:r>
          </w:p>
        </w:tc>
      </w:tr>
      <w:tr w:rsidR="000251CF" w:rsidRPr="000251CF" w14:paraId="3545A262" w14:textId="77777777" w:rsidTr="0088213C">
        <w:trPr>
          <w:trHeight w:val="398"/>
        </w:trPr>
        <w:tc>
          <w:tcPr>
            <w:tcW w:w="1590" w:type="dxa"/>
            <w:tcBorders>
              <w:top w:val="single" w:sz="6" w:space="0" w:color="auto"/>
              <w:left w:val="single" w:sz="6" w:space="0" w:color="auto"/>
              <w:bottom w:val="single" w:sz="6" w:space="0" w:color="auto"/>
              <w:right w:val="single" w:sz="6" w:space="0" w:color="auto"/>
            </w:tcBorders>
          </w:tcPr>
          <w:p w14:paraId="4FAAF872"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w:t>
            </w:r>
          </w:p>
        </w:tc>
        <w:tc>
          <w:tcPr>
            <w:tcW w:w="5953" w:type="dxa"/>
            <w:gridSpan w:val="5"/>
            <w:tcBorders>
              <w:top w:val="single" w:sz="6" w:space="0" w:color="auto"/>
              <w:left w:val="single" w:sz="6" w:space="0" w:color="auto"/>
              <w:bottom w:val="single" w:sz="6" w:space="0" w:color="auto"/>
              <w:right w:val="single" w:sz="6" w:space="0" w:color="auto"/>
            </w:tcBorders>
          </w:tcPr>
          <w:p w14:paraId="6D0A1E5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Members are collectively responsible for the Authority's duties and responsibilities, in accordance with the QCA Act.</w:t>
            </w:r>
          </w:p>
        </w:tc>
        <w:tc>
          <w:tcPr>
            <w:tcW w:w="1418" w:type="dxa"/>
            <w:tcBorders>
              <w:top w:val="single" w:sz="6" w:space="0" w:color="auto"/>
              <w:left w:val="single" w:sz="6" w:space="0" w:color="auto"/>
              <w:bottom w:val="single" w:sz="6" w:space="0" w:color="auto"/>
              <w:right w:val="single" w:sz="6" w:space="0" w:color="auto"/>
            </w:tcBorders>
          </w:tcPr>
          <w:p w14:paraId="383A727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i/>
                <w:iCs/>
                <w:color w:val="000000"/>
                <w:sz w:val="16"/>
                <w:szCs w:val="16"/>
              </w:rPr>
            </w:pPr>
            <w:r w:rsidRPr="000251CF">
              <w:rPr>
                <w:rFonts w:ascii="Tahoma" w:eastAsia="Times New Roman" w:hAnsi="Tahoma" w:cs="Tahoma"/>
                <w:color w:val="000000"/>
                <w:sz w:val="16"/>
                <w:szCs w:val="16"/>
              </w:rPr>
              <w:t>Governor in Council/</w:t>
            </w:r>
            <w:r w:rsidRPr="000251CF">
              <w:rPr>
                <w:rFonts w:ascii="Tahoma" w:eastAsia="Times New Roman" w:hAnsi="Tahoma" w:cs="Tahoma"/>
                <w:i/>
                <w:iCs/>
                <w:color w:val="000000"/>
                <w:sz w:val="16"/>
                <w:szCs w:val="16"/>
              </w:rPr>
              <w:t>QCA Act 1997</w:t>
            </w:r>
          </w:p>
        </w:tc>
      </w:tr>
      <w:tr w:rsidR="000251CF" w:rsidRPr="000251CF" w14:paraId="2AB06BE8" w14:textId="77777777" w:rsidTr="0088213C">
        <w:trPr>
          <w:trHeight w:val="398"/>
        </w:trPr>
        <w:tc>
          <w:tcPr>
            <w:tcW w:w="1590" w:type="dxa"/>
            <w:tcBorders>
              <w:top w:val="single" w:sz="6" w:space="0" w:color="auto"/>
              <w:left w:val="single" w:sz="6" w:space="0" w:color="auto"/>
              <w:bottom w:val="single" w:sz="6" w:space="0" w:color="auto"/>
              <w:right w:val="single" w:sz="6" w:space="0" w:color="auto"/>
            </w:tcBorders>
          </w:tcPr>
          <w:p w14:paraId="4B736610" w14:textId="7091C8C3"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Chief Executive</w:t>
            </w:r>
            <w:r w:rsidR="00601254">
              <w:rPr>
                <w:rFonts w:ascii="Tahoma" w:eastAsia="Times New Roman" w:hAnsi="Tahoma" w:cs="Tahoma"/>
                <w:color w:val="000000"/>
                <w:sz w:val="16"/>
                <w:szCs w:val="16"/>
              </w:rPr>
              <w:t xml:space="preserve"> Officer</w:t>
            </w:r>
          </w:p>
        </w:tc>
        <w:tc>
          <w:tcPr>
            <w:tcW w:w="5953" w:type="dxa"/>
            <w:gridSpan w:val="5"/>
            <w:tcBorders>
              <w:top w:val="single" w:sz="6" w:space="0" w:color="auto"/>
              <w:left w:val="single" w:sz="6" w:space="0" w:color="auto"/>
              <w:bottom w:val="single" w:sz="6" w:space="0" w:color="auto"/>
              <w:right w:val="single" w:sz="6" w:space="0" w:color="auto"/>
            </w:tcBorders>
          </w:tcPr>
          <w:p w14:paraId="251F5333" w14:textId="4F42F946"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The Chief Executive</w:t>
            </w:r>
            <w:r w:rsidR="00601254">
              <w:rPr>
                <w:rFonts w:ascii="Tahoma" w:eastAsia="Times New Roman" w:hAnsi="Tahoma" w:cs="Tahoma"/>
                <w:color w:val="000000"/>
                <w:sz w:val="16"/>
                <w:szCs w:val="16"/>
              </w:rPr>
              <w:t xml:space="preserve"> Officer</w:t>
            </w:r>
            <w:r w:rsidRPr="000251CF">
              <w:rPr>
                <w:rFonts w:ascii="Tahoma" w:eastAsia="Times New Roman" w:hAnsi="Tahoma" w:cs="Tahoma"/>
                <w:color w:val="000000"/>
                <w:sz w:val="16"/>
                <w:szCs w:val="16"/>
              </w:rPr>
              <w:t xml:space="preserve"> is responsible for management of the Authority in accordance with directions of the Members and the QCA Act.</w:t>
            </w:r>
          </w:p>
        </w:tc>
        <w:tc>
          <w:tcPr>
            <w:tcW w:w="1418" w:type="dxa"/>
            <w:tcBorders>
              <w:top w:val="single" w:sz="6" w:space="0" w:color="auto"/>
              <w:left w:val="single" w:sz="6" w:space="0" w:color="auto"/>
              <w:bottom w:val="single" w:sz="6" w:space="0" w:color="auto"/>
              <w:right w:val="single" w:sz="6" w:space="0" w:color="auto"/>
            </w:tcBorders>
          </w:tcPr>
          <w:p w14:paraId="3DC787C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color w:val="000000"/>
                <w:sz w:val="16"/>
                <w:szCs w:val="16"/>
              </w:rPr>
            </w:pPr>
            <w:r w:rsidRPr="000251CF">
              <w:rPr>
                <w:rFonts w:ascii="Tahoma" w:eastAsia="Times New Roman" w:hAnsi="Tahoma" w:cs="Tahoma"/>
                <w:color w:val="000000"/>
                <w:sz w:val="16"/>
                <w:szCs w:val="16"/>
              </w:rPr>
              <w:t>Individual Contract issued by the Authority</w:t>
            </w:r>
          </w:p>
        </w:tc>
      </w:tr>
    </w:tbl>
    <w:p w14:paraId="4D2866DE" w14:textId="640C679B" w:rsidR="000251CF" w:rsidRPr="000251CF" w:rsidRDefault="000251CF" w:rsidP="000251CF">
      <w:pPr>
        <w:spacing w:before="120" w:after="120" w:line="240" w:lineRule="auto"/>
        <w:rPr>
          <w:rFonts w:ascii="Calibri" w:eastAsia="Times New Roman" w:hAnsi="Calibri" w:cs="Times New Roman"/>
          <w:szCs w:val="20"/>
        </w:rPr>
      </w:pPr>
      <w:r w:rsidRPr="000251CF">
        <w:rPr>
          <w:rFonts w:ascii="Calibri" w:eastAsia="Times New Roman" w:hAnsi="Calibri" w:cs="Times New Roman"/>
          <w:szCs w:val="20"/>
        </w:rPr>
        <w:t>The remuneration of Members is set by the Governor in Council. The remuneration of the Chief Executive</w:t>
      </w:r>
      <w:r w:rsidR="00601254">
        <w:rPr>
          <w:rFonts w:ascii="Calibri" w:eastAsia="Times New Roman" w:hAnsi="Calibri" w:cs="Times New Roman"/>
          <w:szCs w:val="20"/>
        </w:rPr>
        <w:t xml:space="preserve"> Officer</w:t>
      </w:r>
      <w:r w:rsidRPr="000251CF">
        <w:rPr>
          <w:rFonts w:ascii="Calibri" w:eastAsia="Times New Roman" w:hAnsi="Calibri" w:cs="Times New Roman"/>
          <w:szCs w:val="20"/>
        </w:rPr>
        <w:t xml:space="preserve"> is set by Members of the Authority and detailed in an employment contract.  </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1FF2658"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Total Remuneration comprises: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546ED3B0" w14:textId="77777777" w:rsidR="000251CF" w:rsidRPr="000251CF" w:rsidRDefault="000251CF" w:rsidP="000251CF">
      <w:pPr>
        <w:numPr>
          <w:ilvl w:val="0"/>
          <w:numId w:val="39"/>
        </w:numPr>
        <w:spacing w:before="12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Short term benefits which include: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3ABBD8FC" w14:textId="77777777" w:rsidR="000251CF" w:rsidRPr="000251CF" w:rsidRDefault="000251CF" w:rsidP="000251CF">
      <w:pPr>
        <w:numPr>
          <w:ilvl w:val="1"/>
          <w:numId w:val="40"/>
        </w:numPr>
        <w:spacing w:before="0" w:after="0" w:line="264" w:lineRule="auto"/>
        <w:ind w:left="567" w:hanging="283"/>
        <w:rPr>
          <w:rFonts w:ascii="Calibri" w:eastAsia="Times New Roman" w:hAnsi="Calibri" w:cs="Times New Roman"/>
          <w:szCs w:val="20"/>
        </w:rPr>
      </w:pPr>
      <w:r w:rsidRPr="000251CF">
        <w:rPr>
          <w:rFonts w:ascii="Calibri" w:eastAsia="Times New Roman" w:hAnsi="Calibri" w:cs="Times New Roman"/>
          <w:szCs w:val="20"/>
        </w:rPr>
        <w:t>Base—consisting of base salary and leave entitlements paid and provided for the entire year</w:t>
      </w:r>
      <w:r w:rsidRPr="000251CF">
        <w:rPr>
          <w:rFonts w:ascii="Calibri" w:eastAsia="Times New Roman" w:hAnsi="Calibri" w:cs="Times New Roman"/>
          <w:szCs w:val="20"/>
        </w:rPr>
        <w:tab/>
      </w:r>
    </w:p>
    <w:p w14:paraId="5380116A" w14:textId="77777777" w:rsidR="000251CF" w:rsidRPr="000251CF" w:rsidRDefault="000251CF" w:rsidP="000251CF">
      <w:pPr>
        <w:numPr>
          <w:ilvl w:val="1"/>
          <w:numId w:val="40"/>
        </w:numPr>
        <w:spacing w:before="0" w:after="0" w:line="264" w:lineRule="auto"/>
        <w:ind w:left="567" w:hanging="283"/>
        <w:rPr>
          <w:rFonts w:ascii="Calibri" w:eastAsia="Times New Roman" w:hAnsi="Calibri" w:cs="Times New Roman"/>
          <w:szCs w:val="20"/>
        </w:rPr>
      </w:pPr>
      <w:r w:rsidRPr="000251CF">
        <w:rPr>
          <w:rFonts w:ascii="Calibri" w:eastAsia="Times New Roman" w:hAnsi="Calibri" w:cs="Times New Roman"/>
          <w:szCs w:val="20"/>
        </w:rPr>
        <w:t>Performance payment—based on a set of key performance indicators set by the Members at the beginning of each financial year that focus on the delivery of work plan and organisational goals.</w:t>
      </w:r>
      <w:r w:rsidRPr="000251CF">
        <w:rPr>
          <w:rFonts w:ascii="Calibri" w:eastAsia="Times New Roman" w:hAnsi="Calibri" w:cs="Times New Roman"/>
          <w:szCs w:val="20"/>
        </w:rPr>
        <w:tab/>
      </w:r>
    </w:p>
    <w:p w14:paraId="7328EF7D" w14:textId="77777777" w:rsidR="000251CF" w:rsidRPr="000251CF" w:rsidRDefault="000251CF" w:rsidP="000251CF">
      <w:pPr>
        <w:numPr>
          <w:ilvl w:val="1"/>
          <w:numId w:val="40"/>
        </w:numPr>
        <w:spacing w:before="0" w:after="0" w:line="264" w:lineRule="auto"/>
        <w:ind w:left="567" w:hanging="283"/>
        <w:rPr>
          <w:rFonts w:ascii="Calibri" w:eastAsia="Times New Roman" w:hAnsi="Calibri" w:cs="Times New Roman"/>
          <w:szCs w:val="20"/>
        </w:rPr>
      </w:pPr>
      <w:r w:rsidRPr="000251CF">
        <w:rPr>
          <w:rFonts w:ascii="Calibri" w:eastAsia="Times New Roman" w:hAnsi="Calibri" w:cs="Times New Roman"/>
          <w:szCs w:val="20"/>
        </w:rPr>
        <w:t>Non-monetary benefits—consisting of other employment benefits together with fringe benefits tax applicable to the benefit</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04788267"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Long term employee benefits consisting of payments towards long service leave entitlements</w:t>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E2F63CA"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proofErr w:type="spellStart"/>
      <w:r w:rsidRPr="000251CF">
        <w:rPr>
          <w:rFonts w:ascii="Calibri" w:eastAsia="Times New Roman" w:hAnsi="Calibri" w:cs="Times New Roman"/>
          <w:szCs w:val="20"/>
        </w:rPr>
        <w:t>Post employment</w:t>
      </w:r>
      <w:proofErr w:type="spellEnd"/>
      <w:r w:rsidRPr="000251CF">
        <w:rPr>
          <w:rFonts w:ascii="Calibri" w:eastAsia="Times New Roman" w:hAnsi="Calibri" w:cs="Times New Roman"/>
          <w:szCs w:val="20"/>
        </w:rPr>
        <w:t xml:space="preserve"> benefits consisting of superannuation contributions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B1402F8" w14:textId="77777777" w:rsidR="000251CF" w:rsidRPr="000251CF" w:rsidRDefault="000251CF" w:rsidP="000251CF">
      <w:pPr>
        <w:numPr>
          <w:ilvl w:val="0"/>
          <w:numId w:val="39"/>
        </w:numPr>
        <w:spacing w:before="0" w:after="12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Termination benefits include payments in lieu of notice on termination and other lump sum separation entitlements (excluding annual and long service leave entitlements) payable on termination of employment.</w:t>
      </w:r>
    </w:p>
    <w:p w14:paraId="69C29B9D"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The following disclosures focus on the expenses incurred by QCA during the respective reporting periods that is attributable to key management positions. Therefore, the amounts disclosed reflect expenses recognised in the Statement of Comprehensive Income.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69D8C6BA" w14:textId="77777777" w:rsidR="000251CF" w:rsidRPr="000251CF" w:rsidRDefault="000251CF" w:rsidP="000251CF">
      <w:pPr>
        <w:spacing w:before="0" w:after="0" w:line="240" w:lineRule="auto"/>
        <w:rPr>
          <w:rFonts w:ascii="Calibri" w:eastAsia="Times New Roman" w:hAnsi="Calibri" w:cs="Times New Roman"/>
          <w:b/>
          <w:bCs/>
          <w:iCs/>
        </w:rPr>
      </w:pPr>
      <w:r w:rsidRPr="000251CF">
        <w:rPr>
          <w:rFonts w:ascii="Calibri" w:eastAsia="Times New Roman" w:hAnsi="Calibri" w:cs="Times New Roman"/>
          <w:sz w:val="21"/>
          <w:szCs w:val="20"/>
        </w:rPr>
        <w:br w:type="page"/>
      </w:r>
    </w:p>
    <w:p w14:paraId="3C4CAE9A" w14:textId="77777777" w:rsidR="000251CF" w:rsidRPr="000251CF" w:rsidRDefault="000251CF" w:rsidP="000251CF">
      <w:pPr>
        <w:keepNext/>
        <w:keepLines/>
        <w:tabs>
          <w:tab w:val="right" w:pos="9106"/>
        </w:tabs>
        <w:spacing w:before="0" w:after="60" w:line="240" w:lineRule="auto"/>
        <w:outlineLvl w:val="4"/>
        <w:rPr>
          <w:rFonts w:ascii="Calibri" w:eastAsia="Times New Roman" w:hAnsi="Calibri" w:cs="Times New Roman"/>
          <w:b/>
          <w:bCs/>
          <w:iCs/>
        </w:rPr>
      </w:pPr>
      <w:r w:rsidRPr="000251CF">
        <w:rPr>
          <w:rFonts w:ascii="Calibri" w:eastAsia="Times New Roman" w:hAnsi="Calibri" w:cs="Times New Roman"/>
          <w:b/>
          <w:bCs/>
          <w:iCs/>
        </w:rPr>
        <w:lastRenderedPageBreak/>
        <w:t>1 July 2020—30 June 2021</w:t>
      </w:r>
    </w:p>
    <w:tbl>
      <w:tblPr>
        <w:tblW w:w="9651" w:type="dxa"/>
        <w:tblInd w:w="-38" w:type="dxa"/>
        <w:tblLayout w:type="fixed"/>
        <w:tblLook w:val="0000" w:firstRow="0" w:lastRow="0" w:firstColumn="0" w:lastColumn="0" w:noHBand="0" w:noVBand="0"/>
      </w:tblPr>
      <w:tblGrid>
        <w:gridCol w:w="2865"/>
        <w:gridCol w:w="846"/>
        <w:gridCol w:w="1023"/>
        <w:gridCol w:w="1048"/>
        <w:gridCol w:w="1253"/>
        <w:gridCol w:w="1239"/>
        <w:gridCol w:w="1377"/>
      </w:tblGrid>
      <w:tr w:rsidR="000251CF" w:rsidRPr="000251CF" w14:paraId="1F4428A4" w14:textId="77777777" w:rsidTr="00CD6381">
        <w:trPr>
          <w:trHeight w:val="151"/>
        </w:trPr>
        <w:tc>
          <w:tcPr>
            <w:tcW w:w="2865" w:type="dxa"/>
            <w:tcBorders>
              <w:top w:val="single" w:sz="6" w:space="0" w:color="auto"/>
              <w:left w:val="single" w:sz="6" w:space="0" w:color="auto"/>
              <w:bottom w:val="nil"/>
              <w:right w:val="single" w:sz="6" w:space="0" w:color="auto"/>
            </w:tcBorders>
            <w:shd w:val="clear" w:color="auto" w:fill="C0C0C0"/>
          </w:tcPr>
          <w:p w14:paraId="64D32C6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Position </w:t>
            </w:r>
          </w:p>
        </w:tc>
        <w:tc>
          <w:tcPr>
            <w:tcW w:w="1869" w:type="dxa"/>
            <w:gridSpan w:val="2"/>
            <w:tcBorders>
              <w:top w:val="single" w:sz="6" w:space="0" w:color="auto"/>
              <w:left w:val="single" w:sz="6" w:space="0" w:color="auto"/>
              <w:bottom w:val="single" w:sz="6" w:space="0" w:color="auto"/>
              <w:right w:val="single" w:sz="6" w:space="0" w:color="auto"/>
            </w:tcBorders>
            <w:shd w:val="clear" w:color="auto" w:fill="C0C0C0"/>
          </w:tcPr>
          <w:p w14:paraId="145B38D2"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Short Term Benefits</w:t>
            </w:r>
          </w:p>
        </w:tc>
        <w:tc>
          <w:tcPr>
            <w:tcW w:w="1048" w:type="dxa"/>
            <w:tcBorders>
              <w:top w:val="single" w:sz="6" w:space="0" w:color="auto"/>
              <w:left w:val="single" w:sz="6" w:space="0" w:color="auto"/>
              <w:bottom w:val="nil"/>
              <w:right w:val="single" w:sz="6" w:space="0" w:color="auto"/>
            </w:tcBorders>
            <w:shd w:val="clear" w:color="auto" w:fill="C0C0C0"/>
          </w:tcPr>
          <w:p w14:paraId="0A9F9C1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Long Term Employee Benefits</w:t>
            </w:r>
          </w:p>
        </w:tc>
        <w:tc>
          <w:tcPr>
            <w:tcW w:w="1253" w:type="dxa"/>
            <w:tcBorders>
              <w:top w:val="single" w:sz="6" w:space="0" w:color="auto"/>
              <w:left w:val="single" w:sz="6" w:space="0" w:color="auto"/>
              <w:bottom w:val="nil"/>
              <w:right w:val="single" w:sz="6" w:space="0" w:color="auto"/>
            </w:tcBorders>
            <w:shd w:val="clear" w:color="auto" w:fill="C0C0C0"/>
          </w:tcPr>
          <w:p w14:paraId="2834FDD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roofErr w:type="spellStart"/>
            <w:r w:rsidRPr="000251CF">
              <w:rPr>
                <w:rFonts w:ascii="Tahoma" w:eastAsia="Times New Roman" w:hAnsi="Tahoma" w:cs="Tahoma"/>
                <w:b/>
                <w:bCs/>
                <w:color w:val="000000"/>
                <w:sz w:val="16"/>
                <w:szCs w:val="16"/>
              </w:rPr>
              <w:t>Post Employment</w:t>
            </w:r>
            <w:proofErr w:type="spellEnd"/>
            <w:r w:rsidRPr="000251CF">
              <w:rPr>
                <w:rFonts w:ascii="Tahoma" w:eastAsia="Times New Roman" w:hAnsi="Tahoma" w:cs="Tahoma"/>
                <w:b/>
                <w:bCs/>
                <w:color w:val="000000"/>
                <w:sz w:val="16"/>
                <w:szCs w:val="16"/>
              </w:rPr>
              <w:t xml:space="preserve"> Benefits</w:t>
            </w:r>
          </w:p>
        </w:tc>
        <w:tc>
          <w:tcPr>
            <w:tcW w:w="1239" w:type="dxa"/>
            <w:tcBorders>
              <w:top w:val="single" w:sz="6" w:space="0" w:color="auto"/>
              <w:left w:val="single" w:sz="6" w:space="0" w:color="auto"/>
              <w:bottom w:val="nil"/>
              <w:right w:val="single" w:sz="6" w:space="0" w:color="auto"/>
            </w:tcBorders>
            <w:shd w:val="clear" w:color="auto" w:fill="C0C0C0"/>
          </w:tcPr>
          <w:p w14:paraId="13FB243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Termination Benefits</w:t>
            </w:r>
          </w:p>
        </w:tc>
        <w:tc>
          <w:tcPr>
            <w:tcW w:w="1377" w:type="dxa"/>
            <w:tcBorders>
              <w:top w:val="single" w:sz="6" w:space="0" w:color="auto"/>
              <w:left w:val="single" w:sz="6" w:space="0" w:color="auto"/>
              <w:bottom w:val="nil"/>
              <w:right w:val="single" w:sz="6" w:space="0" w:color="auto"/>
            </w:tcBorders>
            <w:shd w:val="clear" w:color="auto" w:fill="C0C0C0"/>
          </w:tcPr>
          <w:p w14:paraId="24A9C05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Remuneration</w:t>
            </w:r>
          </w:p>
        </w:tc>
      </w:tr>
      <w:tr w:rsidR="000251CF" w:rsidRPr="000251CF" w14:paraId="02A5A6CC" w14:textId="77777777" w:rsidTr="00CD6381">
        <w:trPr>
          <w:trHeight w:val="257"/>
        </w:trPr>
        <w:tc>
          <w:tcPr>
            <w:tcW w:w="2865" w:type="dxa"/>
            <w:tcBorders>
              <w:top w:val="nil"/>
              <w:left w:val="single" w:sz="6" w:space="0" w:color="auto"/>
              <w:bottom w:val="nil"/>
              <w:right w:val="single" w:sz="6" w:space="0" w:color="auto"/>
            </w:tcBorders>
            <w:shd w:val="clear" w:color="auto" w:fill="C0C0C0"/>
          </w:tcPr>
          <w:p w14:paraId="14D7D20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846" w:type="dxa"/>
            <w:tcBorders>
              <w:top w:val="single" w:sz="6" w:space="0" w:color="auto"/>
              <w:left w:val="single" w:sz="6" w:space="0" w:color="auto"/>
              <w:bottom w:val="nil"/>
              <w:right w:val="single" w:sz="6" w:space="0" w:color="auto"/>
            </w:tcBorders>
            <w:shd w:val="clear" w:color="auto" w:fill="C0C0C0"/>
          </w:tcPr>
          <w:p w14:paraId="36A2189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2071" w:type="dxa"/>
            <w:gridSpan w:val="2"/>
            <w:tcBorders>
              <w:top w:val="single" w:sz="6" w:space="0" w:color="auto"/>
              <w:left w:val="single" w:sz="6" w:space="0" w:color="auto"/>
              <w:bottom w:val="nil"/>
              <w:right w:val="single" w:sz="6" w:space="0" w:color="auto"/>
            </w:tcBorders>
            <w:shd w:val="clear" w:color="auto" w:fill="C0C0C0"/>
          </w:tcPr>
          <w:p w14:paraId="0396007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Non-Monetary Benefits</w:t>
            </w:r>
          </w:p>
        </w:tc>
        <w:tc>
          <w:tcPr>
            <w:tcW w:w="1253" w:type="dxa"/>
            <w:tcBorders>
              <w:top w:val="nil"/>
              <w:left w:val="single" w:sz="6" w:space="0" w:color="auto"/>
              <w:bottom w:val="nil"/>
              <w:right w:val="single" w:sz="6" w:space="0" w:color="auto"/>
            </w:tcBorders>
            <w:shd w:val="clear" w:color="auto" w:fill="C0C0C0"/>
          </w:tcPr>
          <w:p w14:paraId="2C9DBEF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239" w:type="dxa"/>
            <w:tcBorders>
              <w:top w:val="nil"/>
              <w:left w:val="single" w:sz="6" w:space="0" w:color="auto"/>
              <w:bottom w:val="nil"/>
              <w:right w:val="single" w:sz="6" w:space="0" w:color="auto"/>
            </w:tcBorders>
            <w:shd w:val="clear" w:color="auto" w:fill="C0C0C0"/>
          </w:tcPr>
          <w:p w14:paraId="3AB4A1E3"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377" w:type="dxa"/>
            <w:tcBorders>
              <w:top w:val="nil"/>
              <w:left w:val="single" w:sz="6" w:space="0" w:color="auto"/>
              <w:bottom w:val="nil"/>
              <w:right w:val="single" w:sz="6" w:space="0" w:color="auto"/>
            </w:tcBorders>
            <w:shd w:val="clear" w:color="auto" w:fill="C0C0C0"/>
          </w:tcPr>
          <w:p w14:paraId="3EB3613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r>
      <w:tr w:rsidR="000251CF" w:rsidRPr="000251CF" w14:paraId="72388F98" w14:textId="77777777" w:rsidTr="00CD6381">
        <w:trPr>
          <w:trHeight w:val="151"/>
        </w:trPr>
        <w:tc>
          <w:tcPr>
            <w:tcW w:w="2865" w:type="dxa"/>
            <w:tcBorders>
              <w:top w:val="nil"/>
              <w:left w:val="single" w:sz="6" w:space="0" w:color="auto"/>
              <w:bottom w:val="single" w:sz="6" w:space="0" w:color="auto"/>
              <w:right w:val="single" w:sz="6" w:space="0" w:color="auto"/>
            </w:tcBorders>
            <w:shd w:val="clear" w:color="auto" w:fill="C0C0C0"/>
          </w:tcPr>
          <w:p w14:paraId="27FC807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846" w:type="dxa"/>
            <w:tcBorders>
              <w:top w:val="nil"/>
              <w:left w:val="single" w:sz="6" w:space="0" w:color="auto"/>
              <w:bottom w:val="single" w:sz="6" w:space="0" w:color="auto"/>
              <w:right w:val="single" w:sz="6" w:space="0" w:color="auto"/>
            </w:tcBorders>
            <w:shd w:val="clear" w:color="auto" w:fill="C0C0C0"/>
          </w:tcPr>
          <w:p w14:paraId="1CD9B42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023" w:type="dxa"/>
            <w:tcBorders>
              <w:top w:val="nil"/>
              <w:left w:val="single" w:sz="6" w:space="0" w:color="auto"/>
              <w:bottom w:val="single" w:sz="6" w:space="0" w:color="auto"/>
              <w:right w:val="single" w:sz="6" w:space="0" w:color="auto"/>
            </w:tcBorders>
            <w:shd w:val="clear" w:color="auto" w:fill="C0C0C0"/>
          </w:tcPr>
          <w:p w14:paraId="66E0C88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048" w:type="dxa"/>
            <w:tcBorders>
              <w:top w:val="nil"/>
              <w:left w:val="single" w:sz="6" w:space="0" w:color="auto"/>
              <w:bottom w:val="single" w:sz="6" w:space="0" w:color="auto"/>
              <w:right w:val="single" w:sz="6" w:space="0" w:color="auto"/>
            </w:tcBorders>
            <w:shd w:val="clear" w:color="auto" w:fill="C0C0C0"/>
          </w:tcPr>
          <w:p w14:paraId="5879E21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253" w:type="dxa"/>
            <w:tcBorders>
              <w:top w:val="nil"/>
              <w:left w:val="single" w:sz="6" w:space="0" w:color="auto"/>
              <w:bottom w:val="single" w:sz="6" w:space="0" w:color="auto"/>
              <w:right w:val="single" w:sz="6" w:space="0" w:color="auto"/>
            </w:tcBorders>
            <w:shd w:val="clear" w:color="auto" w:fill="C0C0C0"/>
          </w:tcPr>
          <w:p w14:paraId="56E49B7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239" w:type="dxa"/>
            <w:tcBorders>
              <w:top w:val="nil"/>
              <w:left w:val="single" w:sz="6" w:space="0" w:color="auto"/>
              <w:bottom w:val="single" w:sz="6" w:space="0" w:color="auto"/>
              <w:right w:val="single" w:sz="6" w:space="0" w:color="auto"/>
            </w:tcBorders>
            <w:shd w:val="clear" w:color="auto" w:fill="C0C0C0"/>
          </w:tcPr>
          <w:p w14:paraId="1B2E47FB"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377" w:type="dxa"/>
            <w:tcBorders>
              <w:top w:val="nil"/>
              <w:left w:val="single" w:sz="6" w:space="0" w:color="auto"/>
              <w:bottom w:val="single" w:sz="6" w:space="0" w:color="auto"/>
              <w:right w:val="single" w:sz="6" w:space="0" w:color="auto"/>
            </w:tcBorders>
            <w:shd w:val="clear" w:color="auto" w:fill="C0C0C0"/>
          </w:tcPr>
          <w:p w14:paraId="598C30C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6B916F52" w14:textId="77777777" w:rsidTr="00CD6381">
        <w:trPr>
          <w:trHeight w:val="151"/>
        </w:trPr>
        <w:tc>
          <w:tcPr>
            <w:tcW w:w="2865" w:type="dxa"/>
            <w:tcBorders>
              <w:top w:val="nil"/>
              <w:left w:val="single" w:sz="6" w:space="0" w:color="auto"/>
              <w:bottom w:val="nil"/>
              <w:right w:val="single" w:sz="6" w:space="0" w:color="auto"/>
            </w:tcBorders>
          </w:tcPr>
          <w:p w14:paraId="7EE9AEBB" w14:textId="10F63313"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Chair (1/7/20-30/6/21)</w:t>
            </w:r>
          </w:p>
        </w:tc>
        <w:tc>
          <w:tcPr>
            <w:tcW w:w="846" w:type="dxa"/>
            <w:tcBorders>
              <w:top w:val="nil"/>
              <w:left w:val="single" w:sz="6" w:space="0" w:color="auto"/>
              <w:bottom w:val="nil"/>
              <w:right w:val="single" w:sz="6" w:space="0" w:color="auto"/>
            </w:tcBorders>
          </w:tcPr>
          <w:p w14:paraId="65E1272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137,042</w:t>
            </w:r>
          </w:p>
        </w:tc>
        <w:tc>
          <w:tcPr>
            <w:tcW w:w="1023" w:type="dxa"/>
            <w:tcBorders>
              <w:top w:val="nil"/>
              <w:left w:val="single" w:sz="6" w:space="0" w:color="auto"/>
              <w:bottom w:val="nil"/>
              <w:right w:val="single" w:sz="6" w:space="0" w:color="auto"/>
            </w:tcBorders>
          </w:tcPr>
          <w:p w14:paraId="09A800A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48" w:type="dxa"/>
            <w:tcBorders>
              <w:top w:val="nil"/>
              <w:left w:val="single" w:sz="6" w:space="0" w:color="auto"/>
              <w:bottom w:val="nil"/>
              <w:right w:val="single" w:sz="6" w:space="0" w:color="auto"/>
            </w:tcBorders>
          </w:tcPr>
          <w:p w14:paraId="0D2EA9D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53" w:type="dxa"/>
            <w:tcBorders>
              <w:top w:val="nil"/>
              <w:left w:val="single" w:sz="6" w:space="0" w:color="auto"/>
              <w:bottom w:val="nil"/>
              <w:right w:val="single" w:sz="6" w:space="0" w:color="auto"/>
            </w:tcBorders>
          </w:tcPr>
          <w:p w14:paraId="5236716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13,019</w:t>
            </w:r>
          </w:p>
        </w:tc>
        <w:tc>
          <w:tcPr>
            <w:tcW w:w="1239" w:type="dxa"/>
            <w:tcBorders>
              <w:top w:val="nil"/>
              <w:left w:val="single" w:sz="6" w:space="0" w:color="auto"/>
              <w:bottom w:val="nil"/>
              <w:right w:val="single" w:sz="6" w:space="0" w:color="auto"/>
            </w:tcBorders>
          </w:tcPr>
          <w:p w14:paraId="0DA93D2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377" w:type="dxa"/>
            <w:tcBorders>
              <w:top w:val="nil"/>
              <w:left w:val="single" w:sz="6" w:space="0" w:color="auto"/>
              <w:bottom w:val="nil"/>
              <w:right w:val="single" w:sz="6" w:space="0" w:color="auto"/>
            </w:tcBorders>
          </w:tcPr>
          <w:p w14:paraId="309BFEF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150,061</w:t>
            </w:r>
          </w:p>
        </w:tc>
      </w:tr>
      <w:tr w:rsidR="000251CF" w:rsidRPr="000251CF" w14:paraId="480B9901" w14:textId="77777777" w:rsidTr="00CD6381">
        <w:trPr>
          <w:trHeight w:val="142"/>
        </w:trPr>
        <w:tc>
          <w:tcPr>
            <w:tcW w:w="2865" w:type="dxa"/>
            <w:tcBorders>
              <w:top w:val="nil"/>
              <w:left w:val="single" w:sz="6" w:space="0" w:color="auto"/>
              <w:bottom w:val="nil"/>
              <w:right w:val="single" w:sz="6" w:space="0" w:color="auto"/>
            </w:tcBorders>
          </w:tcPr>
          <w:p w14:paraId="456886F6" w14:textId="501207B0"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Deputy Chair (1/7/20-30/6/21)</w:t>
            </w:r>
          </w:p>
        </w:tc>
        <w:tc>
          <w:tcPr>
            <w:tcW w:w="846" w:type="dxa"/>
            <w:tcBorders>
              <w:top w:val="nil"/>
              <w:left w:val="single" w:sz="6" w:space="0" w:color="auto"/>
              <w:bottom w:val="nil"/>
              <w:right w:val="single" w:sz="6" w:space="0" w:color="auto"/>
            </w:tcBorders>
          </w:tcPr>
          <w:p w14:paraId="560E740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68,521</w:t>
            </w:r>
          </w:p>
        </w:tc>
        <w:tc>
          <w:tcPr>
            <w:tcW w:w="1023" w:type="dxa"/>
            <w:tcBorders>
              <w:top w:val="nil"/>
              <w:left w:val="single" w:sz="6" w:space="0" w:color="auto"/>
              <w:bottom w:val="nil"/>
              <w:right w:val="single" w:sz="6" w:space="0" w:color="auto"/>
            </w:tcBorders>
          </w:tcPr>
          <w:p w14:paraId="03869A5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48" w:type="dxa"/>
            <w:tcBorders>
              <w:top w:val="nil"/>
              <w:left w:val="single" w:sz="6" w:space="0" w:color="auto"/>
              <w:bottom w:val="nil"/>
              <w:right w:val="single" w:sz="6" w:space="0" w:color="auto"/>
            </w:tcBorders>
          </w:tcPr>
          <w:p w14:paraId="5DDB0AD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53" w:type="dxa"/>
            <w:tcBorders>
              <w:top w:val="nil"/>
              <w:left w:val="single" w:sz="6" w:space="0" w:color="auto"/>
              <w:bottom w:val="nil"/>
              <w:right w:val="single" w:sz="6" w:space="0" w:color="auto"/>
            </w:tcBorders>
          </w:tcPr>
          <w:p w14:paraId="373BA5C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6,509</w:t>
            </w:r>
          </w:p>
        </w:tc>
        <w:tc>
          <w:tcPr>
            <w:tcW w:w="1239" w:type="dxa"/>
            <w:tcBorders>
              <w:top w:val="nil"/>
              <w:left w:val="single" w:sz="6" w:space="0" w:color="auto"/>
              <w:bottom w:val="nil"/>
              <w:right w:val="single" w:sz="6" w:space="0" w:color="auto"/>
            </w:tcBorders>
          </w:tcPr>
          <w:p w14:paraId="0653D50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377" w:type="dxa"/>
            <w:tcBorders>
              <w:top w:val="nil"/>
              <w:left w:val="single" w:sz="6" w:space="0" w:color="auto"/>
              <w:bottom w:val="nil"/>
              <w:right w:val="single" w:sz="6" w:space="0" w:color="auto"/>
            </w:tcBorders>
          </w:tcPr>
          <w:p w14:paraId="5920528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75,030</w:t>
            </w:r>
          </w:p>
        </w:tc>
      </w:tr>
      <w:tr w:rsidR="000251CF" w:rsidRPr="000251CF" w14:paraId="714DA544" w14:textId="77777777" w:rsidTr="00CD6381">
        <w:trPr>
          <w:trHeight w:val="142"/>
        </w:trPr>
        <w:tc>
          <w:tcPr>
            <w:tcW w:w="2865" w:type="dxa"/>
            <w:tcBorders>
              <w:top w:val="nil"/>
              <w:left w:val="single" w:sz="6" w:space="0" w:color="auto"/>
              <w:bottom w:val="nil"/>
              <w:right w:val="single" w:sz="6" w:space="0" w:color="auto"/>
            </w:tcBorders>
          </w:tcPr>
          <w:p w14:paraId="7FF9948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 (1/7/20-30/6/21)</w:t>
            </w:r>
          </w:p>
        </w:tc>
        <w:tc>
          <w:tcPr>
            <w:tcW w:w="846" w:type="dxa"/>
            <w:tcBorders>
              <w:top w:val="nil"/>
              <w:left w:val="single" w:sz="6" w:space="0" w:color="auto"/>
              <w:bottom w:val="nil"/>
              <w:right w:val="single" w:sz="6" w:space="0" w:color="auto"/>
            </w:tcBorders>
          </w:tcPr>
          <w:p w14:paraId="24C3DE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68,521</w:t>
            </w:r>
          </w:p>
        </w:tc>
        <w:tc>
          <w:tcPr>
            <w:tcW w:w="1023" w:type="dxa"/>
            <w:tcBorders>
              <w:top w:val="nil"/>
              <w:left w:val="single" w:sz="6" w:space="0" w:color="auto"/>
              <w:bottom w:val="nil"/>
              <w:right w:val="single" w:sz="6" w:space="0" w:color="auto"/>
            </w:tcBorders>
          </w:tcPr>
          <w:p w14:paraId="09445DC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48" w:type="dxa"/>
            <w:tcBorders>
              <w:top w:val="nil"/>
              <w:left w:val="single" w:sz="6" w:space="0" w:color="auto"/>
              <w:bottom w:val="nil"/>
              <w:right w:val="single" w:sz="6" w:space="0" w:color="auto"/>
            </w:tcBorders>
          </w:tcPr>
          <w:p w14:paraId="1ECDD3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53" w:type="dxa"/>
            <w:tcBorders>
              <w:top w:val="nil"/>
              <w:left w:val="single" w:sz="6" w:space="0" w:color="auto"/>
              <w:bottom w:val="nil"/>
              <w:right w:val="single" w:sz="6" w:space="0" w:color="auto"/>
            </w:tcBorders>
          </w:tcPr>
          <w:p w14:paraId="593DE1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6,509</w:t>
            </w:r>
          </w:p>
        </w:tc>
        <w:tc>
          <w:tcPr>
            <w:tcW w:w="1239" w:type="dxa"/>
            <w:tcBorders>
              <w:top w:val="nil"/>
              <w:left w:val="single" w:sz="6" w:space="0" w:color="auto"/>
              <w:bottom w:val="nil"/>
              <w:right w:val="single" w:sz="6" w:space="0" w:color="auto"/>
            </w:tcBorders>
          </w:tcPr>
          <w:p w14:paraId="36093C3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377" w:type="dxa"/>
            <w:tcBorders>
              <w:top w:val="nil"/>
              <w:left w:val="single" w:sz="6" w:space="0" w:color="auto"/>
              <w:bottom w:val="nil"/>
              <w:right w:val="single" w:sz="6" w:space="0" w:color="auto"/>
            </w:tcBorders>
          </w:tcPr>
          <w:p w14:paraId="1B56F04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75,030</w:t>
            </w:r>
          </w:p>
        </w:tc>
      </w:tr>
      <w:tr w:rsidR="000251CF" w:rsidRPr="000251CF" w14:paraId="5F7E2149" w14:textId="77777777" w:rsidTr="00CD6381">
        <w:trPr>
          <w:trHeight w:val="151"/>
        </w:trPr>
        <w:tc>
          <w:tcPr>
            <w:tcW w:w="2865" w:type="dxa"/>
            <w:tcBorders>
              <w:top w:val="nil"/>
              <w:left w:val="single" w:sz="6" w:space="0" w:color="auto"/>
              <w:bottom w:val="nil"/>
              <w:right w:val="single" w:sz="6" w:space="0" w:color="auto"/>
            </w:tcBorders>
          </w:tcPr>
          <w:p w14:paraId="4ACA261A"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 (1/7/20-30/6/21)</w:t>
            </w:r>
          </w:p>
        </w:tc>
        <w:tc>
          <w:tcPr>
            <w:tcW w:w="846" w:type="dxa"/>
            <w:tcBorders>
              <w:top w:val="nil"/>
              <w:left w:val="single" w:sz="6" w:space="0" w:color="auto"/>
              <w:bottom w:val="nil"/>
              <w:right w:val="single" w:sz="6" w:space="0" w:color="auto"/>
            </w:tcBorders>
          </w:tcPr>
          <w:p w14:paraId="48248BC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68,521</w:t>
            </w:r>
          </w:p>
        </w:tc>
        <w:tc>
          <w:tcPr>
            <w:tcW w:w="1023" w:type="dxa"/>
            <w:tcBorders>
              <w:top w:val="nil"/>
              <w:left w:val="single" w:sz="6" w:space="0" w:color="auto"/>
              <w:bottom w:val="nil"/>
              <w:right w:val="single" w:sz="6" w:space="0" w:color="auto"/>
            </w:tcBorders>
          </w:tcPr>
          <w:p w14:paraId="3D137DC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48" w:type="dxa"/>
            <w:tcBorders>
              <w:top w:val="nil"/>
              <w:left w:val="single" w:sz="6" w:space="0" w:color="auto"/>
              <w:bottom w:val="nil"/>
              <w:right w:val="single" w:sz="6" w:space="0" w:color="auto"/>
            </w:tcBorders>
          </w:tcPr>
          <w:p w14:paraId="2FCD1A6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53" w:type="dxa"/>
            <w:tcBorders>
              <w:top w:val="nil"/>
              <w:left w:val="single" w:sz="6" w:space="0" w:color="auto"/>
              <w:bottom w:val="nil"/>
              <w:right w:val="single" w:sz="6" w:space="0" w:color="auto"/>
            </w:tcBorders>
          </w:tcPr>
          <w:p w14:paraId="6A79C1F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6,509</w:t>
            </w:r>
          </w:p>
        </w:tc>
        <w:tc>
          <w:tcPr>
            <w:tcW w:w="1239" w:type="dxa"/>
            <w:tcBorders>
              <w:top w:val="nil"/>
              <w:left w:val="single" w:sz="6" w:space="0" w:color="auto"/>
              <w:bottom w:val="nil"/>
              <w:right w:val="single" w:sz="6" w:space="0" w:color="auto"/>
            </w:tcBorders>
          </w:tcPr>
          <w:p w14:paraId="5C1332E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377" w:type="dxa"/>
            <w:tcBorders>
              <w:top w:val="nil"/>
              <w:left w:val="single" w:sz="6" w:space="0" w:color="auto"/>
              <w:bottom w:val="nil"/>
              <w:right w:val="single" w:sz="6" w:space="0" w:color="auto"/>
            </w:tcBorders>
          </w:tcPr>
          <w:p w14:paraId="6795237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75,030</w:t>
            </w:r>
          </w:p>
        </w:tc>
      </w:tr>
      <w:tr w:rsidR="000251CF" w:rsidRPr="000251CF" w14:paraId="6FCCFB35" w14:textId="77777777" w:rsidTr="00CD6381">
        <w:trPr>
          <w:trHeight w:val="151"/>
        </w:trPr>
        <w:tc>
          <w:tcPr>
            <w:tcW w:w="2865" w:type="dxa"/>
            <w:tcBorders>
              <w:top w:val="nil"/>
              <w:left w:val="single" w:sz="6" w:space="0" w:color="auto"/>
              <w:bottom w:val="nil"/>
              <w:right w:val="single" w:sz="6" w:space="0" w:color="auto"/>
            </w:tcBorders>
          </w:tcPr>
          <w:p w14:paraId="04CFC8F0" w14:textId="6ADCEA72"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Chief Executive </w:t>
            </w:r>
            <w:r w:rsidR="00601254">
              <w:rPr>
                <w:rFonts w:ascii="Tahoma" w:eastAsia="Times New Roman" w:hAnsi="Tahoma" w:cs="Tahoma"/>
                <w:color w:val="000000"/>
                <w:sz w:val="16"/>
                <w:szCs w:val="16"/>
              </w:rPr>
              <w:t xml:space="preserve">Officer </w:t>
            </w:r>
            <w:r w:rsidRPr="000251CF">
              <w:rPr>
                <w:rFonts w:ascii="Tahoma" w:eastAsia="Times New Roman" w:hAnsi="Tahoma" w:cs="Tahoma"/>
                <w:color w:val="000000"/>
                <w:sz w:val="16"/>
                <w:szCs w:val="16"/>
              </w:rPr>
              <w:t>(1/7/20-30/6/21)</w:t>
            </w:r>
          </w:p>
        </w:tc>
        <w:tc>
          <w:tcPr>
            <w:tcW w:w="846" w:type="dxa"/>
            <w:tcBorders>
              <w:top w:val="nil"/>
              <w:left w:val="single" w:sz="6" w:space="0" w:color="auto"/>
              <w:bottom w:val="nil"/>
              <w:right w:val="single" w:sz="6" w:space="0" w:color="auto"/>
            </w:tcBorders>
          </w:tcPr>
          <w:p w14:paraId="325C436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400,687</w:t>
            </w:r>
          </w:p>
        </w:tc>
        <w:tc>
          <w:tcPr>
            <w:tcW w:w="1023" w:type="dxa"/>
            <w:tcBorders>
              <w:top w:val="nil"/>
              <w:left w:val="single" w:sz="6" w:space="0" w:color="auto"/>
              <w:bottom w:val="nil"/>
              <w:right w:val="single" w:sz="6" w:space="0" w:color="auto"/>
            </w:tcBorders>
          </w:tcPr>
          <w:p w14:paraId="1891AFD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48" w:type="dxa"/>
            <w:tcBorders>
              <w:top w:val="nil"/>
              <w:left w:val="single" w:sz="6" w:space="0" w:color="auto"/>
              <w:bottom w:val="nil"/>
              <w:right w:val="single" w:sz="6" w:space="0" w:color="auto"/>
            </w:tcBorders>
          </w:tcPr>
          <w:p w14:paraId="281294A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8,414</w:t>
            </w:r>
          </w:p>
        </w:tc>
        <w:tc>
          <w:tcPr>
            <w:tcW w:w="1253" w:type="dxa"/>
            <w:tcBorders>
              <w:top w:val="nil"/>
              <w:left w:val="single" w:sz="6" w:space="0" w:color="auto"/>
              <w:bottom w:val="nil"/>
              <w:right w:val="single" w:sz="6" w:space="0" w:color="auto"/>
            </w:tcBorders>
          </w:tcPr>
          <w:p w14:paraId="6BDDBF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21,537</w:t>
            </w:r>
          </w:p>
        </w:tc>
        <w:tc>
          <w:tcPr>
            <w:tcW w:w="1239" w:type="dxa"/>
            <w:tcBorders>
              <w:top w:val="nil"/>
              <w:left w:val="single" w:sz="6" w:space="0" w:color="auto"/>
              <w:bottom w:val="nil"/>
              <w:right w:val="single" w:sz="6" w:space="0" w:color="auto"/>
            </w:tcBorders>
          </w:tcPr>
          <w:p w14:paraId="350A923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377" w:type="dxa"/>
            <w:tcBorders>
              <w:top w:val="nil"/>
              <w:left w:val="single" w:sz="6" w:space="0" w:color="auto"/>
              <w:bottom w:val="nil"/>
              <w:right w:val="single" w:sz="6" w:space="0" w:color="auto"/>
            </w:tcBorders>
          </w:tcPr>
          <w:p w14:paraId="7198038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430,638</w:t>
            </w:r>
          </w:p>
        </w:tc>
      </w:tr>
      <w:tr w:rsidR="000251CF" w:rsidRPr="000251CF" w14:paraId="1498A0E4" w14:textId="77777777" w:rsidTr="00CD6381">
        <w:trPr>
          <w:trHeight w:val="151"/>
        </w:trPr>
        <w:tc>
          <w:tcPr>
            <w:tcW w:w="2865" w:type="dxa"/>
            <w:tcBorders>
              <w:top w:val="single" w:sz="6" w:space="0" w:color="auto"/>
              <w:left w:val="single" w:sz="6" w:space="0" w:color="auto"/>
              <w:bottom w:val="single" w:sz="6" w:space="0" w:color="auto"/>
              <w:right w:val="single" w:sz="6" w:space="0" w:color="auto"/>
            </w:tcBorders>
          </w:tcPr>
          <w:p w14:paraId="25CE091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Total Remuneration</w:t>
            </w:r>
          </w:p>
        </w:tc>
        <w:tc>
          <w:tcPr>
            <w:tcW w:w="846" w:type="dxa"/>
            <w:tcBorders>
              <w:top w:val="single" w:sz="6" w:space="0" w:color="auto"/>
              <w:left w:val="single" w:sz="6" w:space="0" w:color="auto"/>
              <w:bottom w:val="single" w:sz="6" w:space="0" w:color="auto"/>
              <w:right w:val="single" w:sz="6" w:space="0" w:color="auto"/>
            </w:tcBorders>
          </w:tcPr>
          <w:p w14:paraId="6C3F229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743,292</w:t>
            </w:r>
          </w:p>
        </w:tc>
        <w:tc>
          <w:tcPr>
            <w:tcW w:w="1023" w:type="dxa"/>
            <w:tcBorders>
              <w:top w:val="single" w:sz="6" w:space="0" w:color="auto"/>
              <w:left w:val="single" w:sz="6" w:space="0" w:color="auto"/>
              <w:bottom w:val="single" w:sz="6" w:space="0" w:color="auto"/>
              <w:right w:val="single" w:sz="6" w:space="0" w:color="auto"/>
            </w:tcBorders>
          </w:tcPr>
          <w:p w14:paraId="4D1F3B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48" w:type="dxa"/>
            <w:tcBorders>
              <w:top w:val="single" w:sz="6" w:space="0" w:color="auto"/>
              <w:left w:val="single" w:sz="6" w:space="0" w:color="auto"/>
              <w:bottom w:val="single" w:sz="6" w:space="0" w:color="auto"/>
              <w:right w:val="single" w:sz="6" w:space="0" w:color="auto"/>
            </w:tcBorders>
          </w:tcPr>
          <w:p w14:paraId="4242F0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8,414</w:t>
            </w:r>
          </w:p>
        </w:tc>
        <w:tc>
          <w:tcPr>
            <w:tcW w:w="1253" w:type="dxa"/>
            <w:tcBorders>
              <w:top w:val="single" w:sz="6" w:space="0" w:color="auto"/>
              <w:left w:val="single" w:sz="6" w:space="0" w:color="auto"/>
              <w:bottom w:val="single" w:sz="6" w:space="0" w:color="auto"/>
              <w:right w:val="single" w:sz="6" w:space="0" w:color="auto"/>
            </w:tcBorders>
          </w:tcPr>
          <w:p w14:paraId="1D17760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54,083</w:t>
            </w:r>
          </w:p>
        </w:tc>
        <w:tc>
          <w:tcPr>
            <w:tcW w:w="1239" w:type="dxa"/>
            <w:tcBorders>
              <w:top w:val="single" w:sz="6" w:space="0" w:color="auto"/>
              <w:left w:val="single" w:sz="6" w:space="0" w:color="auto"/>
              <w:bottom w:val="single" w:sz="6" w:space="0" w:color="auto"/>
              <w:right w:val="single" w:sz="6" w:space="0" w:color="auto"/>
            </w:tcBorders>
          </w:tcPr>
          <w:p w14:paraId="28180D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377" w:type="dxa"/>
            <w:tcBorders>
              <w:top w:val="single" w:sz="6" w:space="0" w:color="auto"/>
              <w:left w:val="single" w:sz="6" w:space="0" w:color="auto"/>
              <w:bottom w:val="single" w:sz="6" w:space="0" w:color="auto"/>
              <w:right w:val="single" w:sz="6" w:space="0" w:color="auto"/>
            </w:tcBorders>
          </w:tcPr>
          <w:p w14:paraId="3DD0F6C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805,789</w:t>
            </w:r>
          </w:p>
        </w:tc>
      </w:tr>
    </w:tbl>
    <w:p w14:paraId="3E6107D2" w14:textId="77777777" w:rsidR="000251CF" w:rsidRPr="000251CF" w:rsidRDefault="000251CF" w:rsidP="000251CF">
      <w:pPr>
        <w:keepNext/>
        <w:keepLines/>
        <w:tabs>
          <w:tab w:val="right" w:pos="9106"/>
        </w:tabs>
        <w:spacing w:before="120" w:after="60" w:line="240" w:lineRule="auto"/>
        <w:outlineLvl w:val="4"/>
        <w:rPr>
          <w:rFonts w:ascii="Calibri" w:eastAsia="Times New Roman" w:hAnsi="Calibri" w:cs="Times New Roman"/>
          <w:b/>
          <w:bCs/>
          <w:iCs/>
        </w:rPr>
      </w:pPr>
      <w:r w:rsidRPr="000251CF">
        <w:rPr>
          <w:rFonts w:ascii="Calibri" w:eastAsia="Times New Roman" w:hAnsi="Calibri" w:cs="Times New Roman"/>
          <w:b/>
          <w:bCs/>
          <w:iCs/>
        </w:rPr>
        <w:t>1 July 2019—30 June 2020</w:t>
      </w:r>
    </w:p>
    <w:tbl>
      <w:tblPr>
        <w:tblW w:w="9669" w:type="dxa"/>
        <w:tblInd w:w="-38" w:type="dxa"/>
        <w:tblLayout w:type="fixed"/>
        <w:tblLook w:val="0000" w:firstRow="0" w:lastRow="0" w:firstColumn="0" w:lastColumn="0" w:noHBand="0" w:noVBand="0"/>
      </w:tblPr>
      <w:tblGrid>
        <w:gridCol w:w="2775"/>
        <w:gridCol w:w="956"/>
        <w:gridCol w:w="1030"/>
        <w:gridCol w:w="1058"/>
        <w:gridCol w:w="1233"/>
        <w:gridCol w:w="1239"/>
        <w:gridCol w:w="1378"/>
      </w:tblGrid>
      <w:tr w:rsidR="000251CF" w:rsidRPr="000251CF" w14:paraId="4825E50A" w14:textId="77777777" w:rsidTr="00CA7A64">
        <w:trPr>
          <w:trHeight w:val="142"/>
        </w:trPr>
        <w:tc>
          <w:tcPr>
            <w:tcW w:w="2865" w:type="dxa"/>
            <w:tcBorders>
              <w:top w:val="single" w:sz="6" w:space="0" w:color="auto"/>
              <w:left w:val="single" w:sz="6" w:space="0" w:color="auto"/>
              <w:bottom w:val="nil"/>
              <w:right w:val="single" w:sz="6" w:space="0" w:color="auto"/>
            </w:tcBorders>
            <w:shd w:val="clear" w:color="auto" w:fill="C0C0C0"/>
          </w:tcPr>
          <w:p w14:paraId="2B75D796"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Position </w:t>
            </w:r>
          </w:p>
        </w:tc>
        <w:tc>
          <w:tcPr>
            <w:tcW w:w="2040" w:type="dxa"/>
            <w:gridSpan w:val="2"/>
            <w:tcBorders>
              <w:top w:val="single" w:sz="6" w:space="0" w:color="auto"/>
              <w:left w:val="single" w:sz="6" w:space="0" w:color="auto"/>
              <w:bottom w:val="single" w:sz="6" w:space="0" w:color="auto"/>
              <w:right w:val="single" w:sz="6" w:space="0" w:color="auto"/>
            </w:tcBorders>
            <w:shd w:val="clear" w:color="auto" w:fill="C0C0C0"/>
          </w:tcPr>
          <w:p w14:paraId="62DC563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Short Term Benefits</w:t>
            </w:r>
          </w:p>
        </w:tc>
        <w:tc>
          <w:tcPr>
            <w:tcW w:w="1087" w:type="dxa"/>
            <w:tcBorders>
              <w:top w:val="single" w:sz="6" w:space="0" w:color="auto"/>
              <w:left w:val="single" w:sz="6" w:space="0" w:color="auto"/>
              <w:bottom w:val="nil"/>
              <w:right w:val="single" w:sz="6" w:space="0" w:color="auto"/>
            </w:tcBorders>
            <w:shd w:val="clear" w:color="auto" w:fill="C0C0C0"/>
          </w:tcPr>
          <w:p w14:paraId="39E4ECE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Long Term Employee Benefits</w:t>
            </w:r>
          </w:p>
        </w:tc>
        <w:tc>
          <w:tcPr>
            <w:tcW w:w="1268" w:type="dxa"/>
            <w:tcBorders>
              <w:top w:val="single" w:sz="6" w:space="0" w:color="auto"/>
              <w:left w:val="single" w:sz="6" w:space="0" w:color="auto"/>
              <w:bottom w:val="nil"/>
              <w:right w:val="single" w:sz="6" w:space="0" w:color="auto"/>
            </w:tcBorders>
            <w:shd w:val="clear" w:color="auto" w:fill="C0C0C0"/>
          </w:tcPr>
          <w:p w14:paraId="1E60263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roofErr w:type="spellStart"/>
            <w:r w:rsidRPr="000251CF">
              <w:rPr>
                <w:rFonts w:ascii="Tahoma" w:eastAsia="Times New Roman" w:hAnsi="Tahoma" w:cs="Tahoma"/>
                <w:b/>
                <w:bCs/>
                <w:color w:val="000000"/>
                <w:sz w:val="16"/>
                <w:szCs w:val="16"/>
              </w:rPr>
              <w:t>Post Employment</w:t>
            </w:r>
            <w:proofErr w:type="spellEnd"/>
            <w:r w:rsidRPr="000251CF">
              <w:rPr>
                <w:rFonts w:ascii="Tahoma" w:eastAsia="Times New Roman" w:hAnsi="Tahoma" w:cs="Tahoma"/>
                <w:b/>
                <w:bCs/>
                <w:color w:val="000000"/>
                <w:sz w:val="16"/>
                <w:szCs w:val="16"/>
              </w:rPr>
              <w:t xml:space="preserve"> Benefits</w:t>
            </w:r>
          </w:p>
        </w:tc>
        <w:tc>
          <w:tcPr>
            <w:tcW w:w="1275" w:type="dxa"/>
            <w:tcBorders>
              <w:top w:val="single" w:sz="6" w:space="0" w:color="auto"/>
              <w:left w:val="single" w:sz="6" w:space="0" w:color="auto"/>
              <w:bottom w:val="nil"/>
              <w:right w:val="single" w:sz="6" w:space="0" w:color="auto"/>
            </w:tcBorders>
            <w:shd w:val="clear" w:color="auto" w:fill="C0C0C0"/>
          </w:tcPr>
          <w:p w14:paraId="69A7DC5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Termination Benefits</w:t>
            </w:r>
          </w:p>
        </w:tc>
        <w:tc>
          <w:tcPr>
            <w:tcW w:w="1418" w:type="dxa"/>
            <w:tcBorders>
              <w:top w:val="single" w:sz="6" w:space="0" w:color="auto"/>
              <w:left w:val="single" w:sz="6" w:space="0" w:color="auto"/>
              <w:bottom w:val="nil"/>
              <w:right w:val="single" w:sz="6" w:space="0" w:color="auto"/>
            </w:tcBorders>
            <w:shd w:val="clear" w:color="auto" w:fill="C0C0C0"/>
          </w:tcPr>
          <w:p w14:paraId="67BC917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Remuneration</w:t>
            </w:r>
          </w:p>
        </w:tc>
      </w:tr>
      <w:tr w:rsidR="000251CF" w:rsidRPr="000251CF" w14:paraId="39F9E7AF" w14:textId="77777777" w:rsidTr="00CA7A64">
        <w:trPr>
          <w:trHeight w:val="257"/>
        </w:trPr>
        <w:tc>
          <w:tcPr>
            <w:tcW w:w="2865" w:type="dxa"/>
            <w:tcBorders>
              <w:top w:val="nil"/>
              <w:left w:val="single" w:sz="6" w:space="0" w:color="auto"/>
              <w:bottom w:val="nil"/>
              <w:right w:val="single" w:sz="6" w:space="0" w:color="auto"/>
            </w:tcBorders>
            <w:shd w:val="clear" w:color="auto" w:fill="C0C0C0"/>
          </w:tcPr>
          <w:p w14:paraId="70D083CD"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982" w:type="dxa"/>
            <w:tcBorders>
              <w:top w:val="single" w:sz="6" w:space="0" w:color="auto"/>
              <w:left w:val="single" w:sz="6" w:space="0" w:color="auto"/>
              <w:bottom w:val="nil"/>
              <w:right w:val="single" w:sz="6" w:space="0" w:color="auto"/>
            </w:tcBorders>
            <w:shd w:val="clear" w:color="auto" w:fill="C0C0C0"/>
          </w:tcPr>
          <w:p w14:paraId="0A5D4124"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2145" w:type="dxa"/>
            <w:gridSpan w:val="2"/>
            <w:tcBorders>
              <w:top w:val="single" w:sz="6" w:space="0" w:color="auto"/>
              <w:left w:val="single" w:sz="6" w:space="0" w:color="auto"/>
              <w:bottom w:val="nil"/>
              <w:right w:val="single" w:sz="6" w:space="0" w:color="auto"/>
            </w:tcBorders>
            <w:shd w:val="clear" w:color="auto" w:fill="C0C0C0"/>
          </w:tcPr>
          <w:p w14:paraId="3698CAA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Non-Monetary Benefits</w:t>
            </w:r>
          </w:p>
        </w:tc>
        <w:tc>
          <w:tcPr>
            <w:tcW w:w="1268" w:type="dxa"/>
            <w:tcBorders>
              <w:top w:val="nil"/>
              <w:left w:val="single" w:sz="6" w:space="0" w:color="auto"/>
              <w:bottom w:val="nil"/>
              <w:right w:val="single" w:sz="6" w:space="0" w:color="auto"/>
            </w:tcBorders>
            <w:shd w:val="clear" w:color="auto" w:fill="C0C0C0"/>
          </w:tcPr>
          <w:p w14:paraId="1EA475CA"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275" w:type="dxa"/>
            <w:tcBorders>
              <w:top w:val="nil"/>
              <w:left w:val="single" w:sz="6" w:space="0" w:color="auto"/>
              <w:bottom w:val="nil"/>
              <w:right w:val="single" w:sz="6" w:space="0" w:color="auto"/>
            </w:tcBorders>
            <w:shd w:val="clear" w:color="auto" w:fill="C0C0C0"/>
          </w:tcPr>
          <w:p w14:paraId="26479489"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1418" w:type="dxa"/>
            <w:tcBorders>
              <w:top w:val="nil"/>
              <w:left w:val="single" w:sz="6" w:space="0" w:color="auto"/>
              <w:bottom w:val="nil"/>
              <w:right w:val="single" w:sz="6" w:space="0" w:color="auto"/>
            </w:tcBorders>
            <w:shd w:val="clear" w:color="auto" w:fill="C0C0C0"/>
          </w:tcPr>
          <w:p w14:paraId="231A108E"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r>
      <w:tr w:rsidR="000251CF" w:rsidRPr="000251CF" w14:paraId="0AA7E043" w14:textId="77777777" w:rsidTr="00CA7A64">
        <w:trPr>
          <w:trHeight w:val="142"/>
        </w:trPr>
        <w:tc>
          <w:tcPr>
            <w:tcW w:w="2865" w:type="dxa"/>
            <w:tcBorders>
              <w:top w:val="nil"/>
              <w:left w:val="single" w:sz="6" w:space="0" w:color="auto"/>
              <w:bottom w:val="single" w:sz="6" w:space="0" w:color="auto"/>
              <w:right w:val="single" w:sz="6" w:space="0" w:color="auto"/>
            </w:tcBorders>
            <w:shd w:val="clear" w:color="auto" w:fill="C0C0C0"/>
          </w:tcPr>
          <w:p w14:paraId="433A051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p>
        </w:tc>
        <w:tc>
          <w:tcPr>
            <w:tcW w:w="982" w:type="dxa"/>
            <w:tcBorders>
              <w:top w:val="nil"/>
              <w:left w:val="single" w:sz="6" w:space="0" w:color="auto"/>
              <w:bottom w:val="single" w:sz="6" w:space="0" w:color="auto"/>
              <w:right w:val="single" w:sz="6" w:space="0" w:color="auto"/>
            </w:tcBorders>
            <w:shd w:val="clear" w:color="auto" w:fill="C0C0C0"/>
          </w:tcPr>
          <w:p w14:paraId="23E1CEAC"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058" w:type="dxa"/>
            <w:tcBorders>
              <w:top w:val="nil"/>
              <w:left w:val="single" w:sz="6" w:space="0" w:color="auto"/>
              <w:bottom w:val="single" w:sz="6" w:space="0" w:color="auto"/>
              <w:right w:val="single" w:sz="6" w:space="0" w:color="auto"/>
            </w:tcBorders>
            <w:shd w:val="clear" w:color="auto" w:fill="C0C0C0"/>
          </w:tcPr>
          <w:p w14:paraId="28C2605F"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087" w:type="dxa"/>
            <w:tcBorders>
              <w:top w:val="nil"/>
              <w:left w:val="single" w:sz="6" w:space="0" w:color="auto"/>
              <w:bottom w:val="single" w:sz="6" w:space="0" w:color="auto"/>
              <w:right w:val="single" w:sz="6" w:space="0" w:color="auto"/>
            </w:tcBorders>
            <w:shd w:val="clear" w:color="auto" w:fill="C0C0C0"/>
          </w:tcPr>
          <w:p w14:paraId="43F7E5B7"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268" w:type="dxa"/>
            <w:tcBorders>
              <w:top w:val="nil"/>
              <w:left w:val="single" w:sz="6" w:space="0" w:color="auto"/>
              <w:bottom w:val="single" w:sz="6" w:space="0" w:color="auto"/>
              <w:right w:val="single" w:sz="6" w:space="0" w:color="auto"/>
            </w:tcBorders>
            <w:shd w:val="clear" w:color="auto" w:fill="C0C0C0"/>
          </w:tcPr>
          <w:p w14:paraId="18348915"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275" w:type="dxa"/>
            <w:tcBorders>
              <w:top w:val="nil"/>
              <w:left w:val="single" w:sz="6" w:space="0" w:color="auto"/>
              <w:bottom w:val="single" w:sz="6" w:space="0" w:color="auto"/>
              <w:right w:val="single" w:sz="6" w:space="0" w:color="auto"/>
            </w:tcBorders>
            <w:shd w:val="clear" w:color="auto" w:fill="C0C0C0"/>
          </w:tcPr>
          <w:p w14:paraId="327B97D0"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418" w:type="dxa"/>
            <w:tcBorders>
              <w:top w:val="nil"/>
              <w:left w:val="single" w:sz="6" w:space="0" w:color="auto"/>
              <w:bottom w:val="single" w:sz="6" w:space="0" w:color="auto"/>
              <w:right w:val="single" w:sz="6" w:space="0" w:color="auto"/>
            </w:tcBorders>
            <w:shd w:val="clear" w:color="auto" w:fill="C0C0C0"/>
          </w:tcPr>
          <w:p w14:paraId="4A7BCE58" w14:textId="77777777" w:rsidR="000251CF" w:rsidRPr="000251CF" w:rsidRDefault="000251CF" w:rsidP="000251CF">
            <w:pPr>
              <w:autoSpaceDE w:val="0"/>
              <w:autoSpaceDN w:val="0"/>
              <w:adjustRightInd w:val="0"/>
              <w:spacing w:before="0" w:after="0" w:line="240" w:lineRule="auto"/>
              <w:jc w:val="center"/>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3BE5E099" w14:textId="77777777" w:rsidTr="00CA7A64">
        <w:trPr>
          <w:trHeight w:val="142"/>
        </w:trPr>
        <w:tc>
          <w:tcPr>
            <w:tcW w:w="2865" w:type="dxa"/>
            <w:tcBorders>
              <w:top w:val="nil"/>
              <w:left w:val="single" w:sz="6" w:space="0" w:color="auto"/>
              <w:bottom w:val="nil"/>
              <w:right w:val="single" w:sz="6" w:space="0" w:color="auto"/>
            </w:tcBorders>
          </w:tcPr>
          <w:p w14:paraId="65531918" w14:textId="5EBDD615"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Chair (1/7/19-30/6/20)</w:t>
            </w:r>
          </w:p>
        </w:tc>
        <w:tc>
          <w:tcPr>
            <w:tcW w:w="982" w:type="dxa"/>
            <w:tcBorders>
              <w:top w:val="nil"/>
              <w:left w:val="single" w:sz="6" w:space="0" w:color="auto"/>
              <w:bottom w:val="nil"/>
              <w:right w:val="single" w:sz="6" w:space="0" w:color="auto"/>
            </w:tcBorders>
          </w:tcPr>
          <w:p w14:paraId="3FF694B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141,768</w:t>
            </w:r>
          </w:p>
        </w:tc>
        <w:tc>
          <w:tcPr>
            <w:tcW w:w="1058" w:type="dxa"/>
            <w:tcBorders>
              <w:top w:val="nil"/>
              <w:left w:val="single" w:sz="6" w:space="0" w:color="auto"/>
              <w:bottom w:val="nil"/>
              <w:right w:val="single" w:sz="6" w:space="0" w:color="auto"/>
            </w:tcBorders>
          </w:tcPr>
          <w:p w14:paraId="71B533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87" w:type="dxa"/>
            <w:tcBorders>
              <w:top w:val="nil"/>
              <w:left w:val="single" w:sz="6" w:space="0" w:color="auto"/>
              <w:bottom w:val="nil"/>
              <w:right w:val="single" w:sz="6" w:space="0" w:color="auto"/>
            </w:tcBorders>
          </w:tcPr>
          <w:p w14:paraId="4F935BE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68" w:type="dxa"/>
            <w:tcBorders>
              <w:top w:val="nil"/>
              <w:left w:val="single" w:sz="6" w:space="0" w:color="auto"/>
              <w:bottom w:val="nil"/>
              <w:right w:val="single" w:sz="6" w:space="0" w:color="auto"/>
            </w:tcBorders>
          </w:tcPr>
          <w:p w14:paraId="6339BD2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13,468</w:t>
            </w:r>
          </w:p>
        </w:tc>
        <w:tc>
          <w:tcPr>
            <w:tcW w:w="1275" w:type="dxa"/>
            <w:tcBorders>
              <w:top w:val="nil"/>
              <w:left w:val="single" w:sz="6" w:space="0" w:color="auto"/>
              <w:bottom w:val="nil"/>
              <w:right w:val="single" w:sz="6" w:space="0" w:color="auto"/>
            </w:tcBorders>
          </w:tcPr>
          <w:p w14:paraId="391A744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418" w:type="dxa"/>
            <w:tcBorders>
              <w:top w:val="nil"/>
              <w:left w:val="single" w:sz="6" w:space="0" w:color="auto"/>
              <w:bottom w:val="nil"/>
              <w:right w:val="single" w:sz="6" w:space="0" w:color="auto"/>
            </w:tcBorders>
          </w:tcPr>
          <w:p w14:paraId="46EAE1D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155,236</w:t>
            </w:r>
          </w:p>
        </w:tc>
      </w:tr>
      <w:tr w:rsidR="000251CF" w:rsidRPr="000251CF" w14:paraId="5E9DAFBA" w14:textId="77777777" w:rsidTr="00CA7A64">
        <w:trPr>
          <w:trHeight w:val="142"/>
        </w:trPr>
        <w:tc>
          <w:tcPr>
            <w:tcW w:w="2865" w:type="dxa"/>
            <w:tcBorders>
              <w:top w:val="nil"/>
              <w:left w:val="single" w:sz="6" w:space="0" w:color="auto"/>
              <w:bottom w:val="nil"/>
              <w:right w:val="single" w:sz="6" w:space="0" w:color="auto"/>
            </w:tcBorders>
          </w:tcPr>
          <w:p w14:paraId="7CE626F8" w14:textId="33CADA1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Deputy Chair (1/7/19-30/6/20)</w:t>
            </w:r>
          </w:p>
        </w:tc>
        <w:tc>
          <w:tcPr>
            <w:tcW w:w="982" w:type="dxa"/>
            <w:tcBorders>
              <w:top w:val="nil"/>
              <w:left w:val="single" w:sz="6" w:space="0" w:color="auto"/>
              <w:bottom w:val="nil"/>
              <w:right w:val="single" w:sz="6" w:space="0" w:color="auto"/>
            </w:tcBorders>
          </w:tcPr>
          <w:p w14:paraId="2471ECA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70,884</w:t>
            </w:r>
          </w:p>
        </w:tc>
        <w:tc>
          <w:tcPr>
            <w:tcW w:w="1058" w:type="dxa"/>
            <w:tcBorders>
              <w:top w:val="nil"/>
              <w:left w:val="single" w:sz="6" w:space="0" w:color="auto"/>
              <w:bottom w:val="nil"/>
              <w:right w:val="single" w:sz="6" w:space="0" w:color="auto"/>
            </w:tcBorders>
          </w:tcPr>
          <w:p w14:paraId="4191C15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87" w:type="dxa"/>
            <w:tcBorders>
              <w:top w:val="nil"/>
              <w:left w:val="single" w:sz="6" w:space="0" w:color="auto"/>
              <w:bottom w:val="nil"/>
              <w:right w:val="single" w:sz="6" w:space="0" w:color="auto"/>
            </w:tcBorders>
          </w:tcPr>
          <w:p w14:paraId="0FB27F7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68" w:type="dxa"/>
            <w:tcBorders>
              <w:top w:val="nil"/>
              <w:left w:val="single" w:sz="6" w:space="0" w:color="auto"/>
              <w:bottom w:val="nil"/>
              <w:right w:val="single" w:sz="6" w:space="0" w:color="auto"/>
            </w:tcBorders>
          </w:tcPr>
          <w:p w14:paraId="4DD1E5A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6,734</w:t>
            </w:r>
          </w:p>
        </w:tc>
        <w:tc>
          <w:tcPr>
            <w:tcW w:w="1275" w:type="dxa"/>
            <w:tcBorders>
              <w:top w:val="nil"/>
              <w:left w:val="single" w:sz="6" w:space="0" w:color="auto"/>
              <w:bottom w:val="nil"/>
              <w:right w:val="single" w:sz="6" w:space="0" w:color="auto"/>
            </w:tcBorders>
          </w:tcPr>
          <w:p w14:paraId="086432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418" w:type="dxa"/>
            <w:tcBorders>
              <w:top w:val="nil"/>
              <w:left w:val="single" w:sz="6" w:space="0" w:color="auto"/>
              <w:bottom w:val="nil"/>
              <w:right w:val="single" w:sz="6" w:space="0" w:color="auto"/>
            </w:tcBorders>
          </w:tcPr>
          <w:p w14:paraId="06F420D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77,618</w:t>
            </w:r>
          </w:p>
        </w:tc>
      </w:tr>
      <w:tr w:rsidR="000251CF" w:rsidRPr="000251CF" w14:paraId="2863AB50" w14:textId="77777777" w:rsidTr="00CA7A64">
        <w:trPr>
          <w:trHeight w:val="142"/>
        </w:trPr>
        <w:tc>
          <w:tcPr>
            <w:tcW w:w="2865" w:type="dxa"/>
            <w:tcBorders>
              <w:top w:val="nil"/>
              <w:left w:val="single" w:sz="6" w:space="0" w:color="auto"/>
              <w:bottom w:val="nil"/>
              <w:right w:val="single" w:sz="6" w:space="0" w:color="auto"/>
            </w:tcBorders>
          </w:tcPr>
          <w:p w14:paraId="626B4C8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 (1/7/19-30/6/20)</w:t>
            </w:r>
          </w:p>
        </w:tc>
        <w:tc>
          <w:tcPr>
            <w:tcW w:w="982" w:type="dxa"/>
            <w:tcBorders>
              <w:top w:val="nil"/>
              <w:left w:val="single" w:sz="6" w:space="0" w:color="auto"/>
              <w:bottom w:val="nil"/>
              <w:right w:val="single" w:sz="6" w:space="0" w:color="auto"/>
            </w:tcBorders>
          </w:tcPr>
          <w:p w14:paraId="4964E98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70,884</w:t>
            </w:r>
          </w:p>
        </w:tc>
        <w:tc>
          <w:tcPr>
            <w:tcW w:w="1058" w:type="dxa"/>
            <w:tcBorders>
              <w:top w:val="nil"/>
              <w:left w:val="single" w:sz="6" w:space="0" w:color="auto"/>
              <w:bottom w:val="nil"/>
              <w:right w:val="single" w:sz="6" w:space="0" w:color="auto"/>
            </w:tcBorders>
          </w:tcPr>
          <w:p w14:paraId="3F60E41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87" w:type="dxa"/>
            <w:tcBorders>
              <w:top w:val="nil"/>
              <w:left w:val="single" w:sz="6" w:space="0" w:color="auto"/>
              <w:bottom w:val="nil"/>
              <w:right w:val="single" w:sz="6" w:space="0" w:color="auto"/>
            </w:tcBorders>
          </w:tcPr>
          <w:p w14:paraId="031B620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68" w:type="dxa"/>
            <w:tcBorders>
              <w:top w:val="nil"/>
              <w:left w:val="single" w:sz="6" w:space="0" w:color="auto"/>
              <w:bottom w:val="nil"/>
              <w:right w:val="single" w:sz="6" w:space="0" w:color="auto"/>
            </w:tcBorders>
          </w:tcPr>
          <w:p w14:paraId="4C8D9E2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6,734</w:t>
            </w:r>
          </w:p>
        </w:tc>
        <w:tc>
          <w:tcPr>
            <w:tcW w:w="1275" w:type="dxa"/>
            <w:tcBorders>
              <w:top w:val="nil"/>
              <w:left w:val="single" w:sz="6" w:space="0" w:color="auto"/>
              <w:bottom w:val="nil"/>
              <w:right w:val="single" w:sz="6" w:space="0" w:color="auto"/>
            </w:tcBorders>
          </w:tcPr>
          <w:p w14:paraId="6FF9540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418" w:type="dxa"/>
            <w:tcBorders>
              <w:top w:val="nil"/>
              <w:left w:val="single" w:sz="6" w:space="0" w:color="auto"/>
              <w:bottom w:val="nil"/>
              <w:right w:val="single" w:sz="6" w:space="0" w:color="auto"/>
            </w:tcBorders>
          </w:tcPr>
          <w:p w14:paraId="4B1965D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77,618</w:t>
            </w:r>
          </w:p>
        </w:tc>
      </w:tr>
      <w:tr w:rsidR="000251CF" w:rsidRPr="000251CF" w14:paraId="3845B760" w14:textId="77777777" w:rsidTr="00CA7A64">
        <w:trPr>
          <w:trHeight w:val="142"/>
        </w:trPr>
        <w:tc>
          <w:tcPr>
            <w:tcW w:w="2865" w:type="dxa"/>
            <w:tcBorders>
              <w:top w:val="nil"/>
              <w:left w:val="single" w:sz="6" w:space="0" w:color="auto"/>
              <w:bottom w:val="nil"/>
              <w:right w:val="single" w:sz="6" w:space="0" w:color="auto"/>
            </w:tcBorders>
          </w:tcPr>
          <w:p w14:paraId="12AFF23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Member (1/7/19-30/6/20)</w:t>
            </w:r>
          </w:p>
        </w:tc>
        <w:tc>
          <w:tcPr>
            <w:tcW w:w="982" w:type="dxa"/>
            <w:tcBorders>
              <w:top w:val="nil"/>
              <w:left w:val="single" w:sz="6" w:space="0" w:color="auto"/>
              <w:bottom w:val="nil"/>
              <w:right w:val="single" w:sz="6" w:space="0" w:color="auto"/>
            </w:tcBorders>
          </w:tcPr>
          <w:p w14:paraId="02EC96E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70,884</w:t>
            </w:r>
          </w:p>
        </w:tc>
        <w:tc>
          <w:tcPr>
            <w:tcW w:w="1058" w:type="dxa"/>
            <w:tcBorders>
              <w:top w:val="nil"/>
              <w:left w:val="single" w:sz="6" w:space="0" w:color="auto"/>
              <w:bottom w:val="nil"/>
              <w:right w:val="single" w:sz="6" w:space="0" w:color="auto"/>
            </w:tcBorders>
          </w:tcPr>
          <w:p w14:paraId="4966E59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87" w:type="dxa"/>
            <w:tcBorders>
              <w:top w:val="nil"/>
              <w:left w:val="single" w:sz="6" w:space="0" w:color="auto"/>
              <w:bottom w:val="nil"/>
              <w:right w:val="single" w:sz="6" w:space="0" w:color="auto"/>
            </w:tcBorders>
          </w:tcPr>
          <w:p w14:paraId="0B83272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268" w:type="dxa"/>
            <w:tcBorders>
              <w:top w:val="nil"/>
              <w:left w:val="single" w:sz="6" w:space="0" w:color="auto"/>
              <w:bottom w:val="nil"/>
              <w:right w:val="single" w:sz="6" w:space="0" w:color="auto"/>
            </w:tcBorders>
          </w:tcPr>
          <w:p w14:paraId="4182DF3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6,734</w:t>
            </w:r>
          </w:p>
        </w:tc>
        <w:tc>
          <w:tcPr>
            <w:tcW w:w="1275" w:type="dxa"/>
            <w:tcBorders>
              <w:top w:val="nil"/>
              <w:left w:val="single" w:sz="6" w:space="0" w:color="auto"/>
              <w:bottom w:val="nil"/>
              <w:right w:val="single" w:sz="6" w:space="0" w:color="auto"/>
            </w:tcBorders>
          </w:tcPr>
          <w:p w14:paraId="54B9E9B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418" w:type="dxa"/>
            <w:tcBorders>
              <w:top w:val="nil"/>
              <w:left w:val="single" w:sz="6" w:space="0" w:color="auto"/>
              <w:bottom w:val="nil"/>
              <w:right w:val="single" w:sz="6" w:space="0" w:color="auto"/>
            </w:tcBorders>
          </w:tcPr>
          <w:p w14:paraId="7B48F0A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77,618</w:t>
            </w:r>
          </w:p>
        </w:tc>
      </w:tr>
      <w:tr w:rsidR="000251CF" w:rsidRPr="000251CF" w14:paraId="18DC3FCC" w14:textId="77777777" w:rsidTr="00CA7A64">
        <w:trPr>
          <w:trHeight w:val="142"/>
        </w:trPr>
        <w:tc>
          <w:tcPr>
            <w:tcW w:w="2865" w:type="dxa"/>
            <w:tcBorders>
              <w:top w:val="nil"/>
              <w:left w:val="single" w:sz="6" w:space="0" w:color="auto"/>
              <w:bottom w:val="nil"/>
              <w:right w:val="single" w:sz="6" w:space="0" w:color="auto"/>
            </w:tcBorders>
          </w:tcPr>
          <w:p w14:paraId="65989D0A" w14:textId="78746222"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Chief Executive </w:t>
            </w:r>
            <w:r w:rsidR="00601254">
              <w:rPr>
                <w:rFonts w:ascii="Tahoma" w:eastAsia="Times New Roman" w:hAnsi="Tahoma" w:cs="Tahoma"/>
                <w:color w:val="000000"/>
                <w:sz w:val="16"/>
                <w:szCs w:val="16"/>
              </w:rPr>
              <w:t xml:space="preserve">Officer </w:t>
            </w:r>
            <w:r w:rsidRPr="000251CF">
              <w:rPr>
                <w:rFonts w:ascii="Tahoma" w:eastAsia="Times New Roman" w:hAnsi="Tahoma" w:cs="Tahoma"/>
                <w:color w:val="000000"/>
                <w:sz w:val="16"/>
                <w:szCs w:val="16"/>
              </w:rPr>
              <w:t>(1/7/19-30/6/20)</w:t>
            </w:r>
          </w:p>
        </w:tc>
        <w:tc>
          <w:tcPr>
            <w:tcW w:w="982" w:type="dxa"/>
            <w:tcBorders>
              <w:top w:val="nil"/>
              <w:left w:val="single" w:sz="6" w:space="0" w:color="auto"/>
              <w:bottom w:val="nil"/>
              <w:right w:val="single" w:sz="6" w:space="0" w:color="auto"/>
            </w:tcBorders>
          </w:tcPr>
          <w:p w14:paraId="2ACD673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433,203</w:t>
            </w:r>
          </w:p>
        </w:tc>
        <w:tc>
          <w:tcPr>
            <w:tcW w:w="1058" w:type="dxa"/>
            <w:tcBorders>
              <w:top w:val="nil"/>
              <w:left w:val="single" w:sz="6" w:space="0" w:color="auto"/>
              <w:bottom w:val="nil"/>
              <w:right w:val="single" w:sz="6" w:space="0" w:color="auto"/>
            </w:tcBorders>
          </w:tcPr>
          <w:p w14:paraId="24FCA5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87" w:type="dxa"/>
            <w:tcBorders>
              <w:top w:val="nil"/>
              <w:left w:val="single" w:sz="6" w:space="0" w:color="auto"/>
              <w:bottom w:val="nil"/>
              <w:right w:val="single" w:sz="6" w:space="0" w:color="auto"/>
            </w:tcBorders>
          </w:tcPr>
          <w:p w14:paraId="0B6541F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9,097</w:t>
            </w:r>
          </w:p>
        </w:tc>
        <w:tc>
          <w:tcPr>
            <w:tcW w:w="1268" w:type="dxa"/>
            <w:tcBorders>
              <w:top w:val="nil"/>
              <w:left w:val="single" w:sz="6" w:space="0" w:color="auto"/>
              <w:bottom w:val="nil"/>
              <w:right w:val="single" w:sz="6" w:space="0" w:color="auto"/>
            </w:tcBorders>
          </w:tcPr>
          <w:p w14:paraId="46A16CB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21,736</w:t>
            </w:r>
          </w:p>
        </w:tc>
        <w:tc>
          <w:tcPr>
            <w:tcW w:w="1275" w:type="dxa"/>
            <w:tcBorders>
              <w:top w:val="nil"/>
              <w:left w:val="single" w:sz="6" w:space="0" w:color="auto"/>
              <w:bottom w:val="nil"/>
              <w:right w:val="single" w:sz="6" w:space="0" w:color="auto"/>
            </w:tcBorders>
          </w:tcPr>
          <w:p w14:paraId="39D562B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418" w:type="dxa"/>
            <w:tcBorders>
              <w:top w:val="nil"/>
              <w:left w:val="single" w:sz="6" w:space="0" w:color="auto"/>
              <w:bottom w:val="nil"/>
              <w:right w:val="single" w:sz="6" w:space="0" w:color="auto"/>
            </w:tcBorders>
          </w:tcPr>
          <w:p w14:paraId="4A39722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464,036</w:t>
            </w:r>
          </w:p>
        </w:tc>
      </w:tr>
      <w:tr w:rsidR="000251CF" w:rsidRPr="000251CF" w14:paraId="57314BC1" w14:textId="77777777" w:rsidTr="00CA7A64">
        <w:trPr>
          <w:trHeight w:val="142"/>
        </w:trPr>
        <w:tc>
          <w:tcPr>
            <w:tcW w:w="2865" w:type="dxa"/>
            <w:tcBorders>
              <w:top w:val="single" w:sz="6" w:space="0" w:color="auto"/>
              <w:left w:val="single" w:sz="6" w:space="0" w:color="auto"/>
              <w:bottom w:val="single" w:sz="6" w:space="0" w:color="auto"/>
              <w:right w:val="single" w:sz="6" w:space="0" w:color="auto"/>
            </w:tcBorders>
          </w:tcPr>
          <w:p w14:paraId="5488267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Total Remuneration</w:t>
            </w:r>
          </w:p>
        </w:tc>
        <w:tc>
          <w:tcPr>
            <w:tcW w:w="982" w:type="dxa"/>
            <w:tcBorders>
              <w:top w:val="single" w:sz="6" w:space="0" w:color="auto"/>
              <w:left w:val="single" w:sz="6" w:space="0" w:color="auto"/>
              <w:bottom w:val="single" w:sz="6" w:space="0" w:color="auto"/>
              <w:right w:val="single" w:sz="6" w:space="0" w:color="auto"/>
            </w:tcBorders>
          </w:tcPr>
          <w:p w14:paraId="063957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787,622</w:t>
            </w:r>
          </w:p>
        </w:tc>
        <w:tc>
          <w:tcPr>
            <w:tcW w:w="1058" w:type="dxa"/>
            <w:tcBorders>
              <w:top w:val="single" w:sz="6" w:space="0" w:color="auto"/>
              <w:left w:val="single" w:sz="6" w:space="0" w:color="auto"/>
              <w:bottom w:val="single" w:sz="6" w:space="0" w:color="auto"/>
              <w:right w:val="single" w:sz="6" w:space="0" w:color="auto"/>
            </w:tcBorders>
          </w:tcPr>
          <w:p w14:paraId="60E993B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087" w:type="dxa"/>
            <w:tcBorders>
              <w:top w:val="single" w:sz="6" w:space="0" w:color="auto"/>
              <w:left w:val="single" w:sz="6" w:space="0" w:color="auto"/>
              <w:bottom w:val="single" w:sz="6" w:space="0" w:color="auto"/>
              <w:right w:val="single" w:sz="6" w:space="0" w:color="auto"/>
            </w:tcBorders>
          </w:tcPr>
          <w:p w14:paraId="7BD470D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9,097</w:t>
            </w:r>
          </w:p>
        </w:tc>
        <w:tc>
          <w:tcPr>
            <w:tcW w:w="1268" w:type="dxa"/>
            <w:tcBorders>
              <w:top w:val="single" w:sz="6" w:space="0" w:color="auto"/>
              <w:left w:val="single" w:sz="6" w:space="0" w:color="auto"/>
              <w:bottom w:val="single" w:sz="6" w:space="0" w:color="auto"/>
              <w:right w:val="single" w:sz="6" w:space="0" w:color="auto"/>
            </w:tcBorders>
          </w:tcPr>
          <w:p w14:paraId="1FFA3CD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55,406</w:t>
            </w:r>
          </w:p>
        </w:tc>
        <w:tc>
          <w:tcPr>
            <w:tcW w:w="1275" w:type="dxa"/>
            <w:tcBorders>
              <w:top w:val="single" w:sz="6" w:space="0" w:color="auto"/>
              <w:left w:val="single" w:sz="6" w:space="0" w:color="auto"/>
              <w:bottom w:val="single" w:sz="6" w:space="0" w:color="auto"/>
              <w:right w:val="single" w:sz="6" w:space="0" w:color="auto"/>
            </w:tcBorders>
          </w:tcPr>
          <w:p w14:paraId="5DFC5E9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418" w:type="dxa"/>
            <w:tcBorders>
              <w:top w:val="single" w:sz="6" w:space="0" w:color="auto"/>
              <w:left w:val="single" w:sz="6" w:space="0" w:color="auto"/>
              <w:bottom w:val="single" w:sz="6" w:space="0" w:color="auto"/>
              <w:right w:val="single" w:sz="6" w:space="0" w:color="auto"/>
            </w:tcBorders>
          </w:tcPr>
          <w:p w14:paraId="35C4BA7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852,125</w:t>
            </w:r>
          </w:p>
        </w:tc>
      </w:tr>
    </w:tbl>
    <w:p w14:paraId="193408A0" w14:textId="77777777" w:rsidR="000251CF" w:rsidRPr="000251CF" w:rsidRDefault="000251CF" w:rsidP="000251CF">
      <w:pPr>
        <w:spacing w:before="120" w:after="0" w:line="240" w:lineRule="auto"/>
        <w:rPr>
          <w:rFonts w:ascii="Calibri" w:eastAsia="Times New Roman" w:hAnsi="Calibri" w:cs="Times New Roman"/>
          <w:szCs w:val="20"/>
          <w:u w:val="single"/>
        </w:rPr>
      </w:pPr>
      <w:r w:rsidRPr="000251CF">
        <w:rPr>
          <w:rFonts w:ascii="Calibri" w:eastAsia="Times New Roman" w:hAnsi="Calibri" w:cs="Times New Roman"/>
          <w:szCs w:val="20"/>
          <w:u w:val="single"/>
        </w:rPr>
        <w:t>Performance Payments</w:t>
      </w:r>
    </w:p>
    <w:p w14:paraId="7C3BAFF9" w14:textId="733275DC"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The 2019–20 remuneration package for the Chief Executive </w:t>
      </w:r>
      <w:r w:rsidR="00601254">
        <w:rPr>
          <w:rFonts w:ascii="Calibri" w:eastAsia="Times New Roman" w:hAnsi="Calibri" w:cs="Times New Roman"/>
          <w:szCs w:val="20"/>
        </w:rPr>
        <w:t xml:space="preserve">Officer </w:t>
      </w:r>
      <w:r w:rsidRPr="000251CF">
        <w:rPr>
          <w:rFonts w:ascii="Calibri" w:eastAsia="Times New Roman" w:hAnsi="Calibri" w:cs="Times New Roman"/>
          <w:szCs w:val="20"/>
        </w:rPr>
        <w:t>included a potential performance payment. The assessment has been completed and a performance payment was not made nor deferred for the 2019-20 financial year.</w:t>
      </w:r>
      <w:r w:rsidRPr="000251CF">
        <w:rPr>
          <w:rFonts w:ascii="Calibri" w:eastAsia="Times New Roman" w:hAnsi="Calibri" w:cs="Times New Roman"/>
          <w:szCs w:val="20"/>
        </w:rPr>
        <w:tab/>
      </w:r>
    </w:p>
    <w:p w14:paraId="18DAD919" w14:textId="2EF24E3B"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The 2020–21 remuneration package for the Chief Executive </w:t>
      </w:r>
      <w:r w:rsidR="00601254">
        <w:rPr>
          <w:rFonts w:ascii="Calibri" w:eastAsia="Times New Roman" w:hAnsi="Calibri" w:cs="Times New Roman"/>
          <w:szCs w:val="20"/>
        </w:rPr>
        <w:t xml:space="preserve">Officer </w:t>
      </w:r>
      <w:r w:rsidRPr="000251CF">
        <w:rPr>
          <w:rFonts w:ascii="Calibri" w:eastAsia="Times New Roman" w:hAnsi="Calibri" w:cs="Times New Roman"/>
          <w:szCs w:val="20"/>
        </w:rPr>
        <w:t>includes a potential performance payment of up to a maximum of $20,999 for successful completion of Board set key performance indicators. The assessment process for calculating this years' performance payment has not commenced.</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1EC74E74"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Note 7:</w:t>
      </w:r>
    </w:p>
    <w:p w14:paraId="5F197EB9" w14:textId="77777777" w:rsidR="000251CF" w:rsidRPr="000251CF" w:rsidRDefault="000251CF" w:rsidP="000251CF">
      <w:pPr>
        <w:keepNext/>
        <w:keepLines/>
        <w:tabs>
          <w:tab w:val="right" w:pos="9106"/>
        </w:tabs>
        <w:spacing w:before="0" w:after="0" w:line="240" w:lineRule="auto"/>
        <w:outlineLvl w:val="4"/>
        <w:rPr>
          <w:rFonts w:ascii="Calibri" w:eastAsia="Times New Roman" w:hAnsi="Calibri" w:cs="Times New Roman"/>
          <w:b/>
          <w:bCs/>
          <w:iCs/>
        </w:rPr>
      </w:pPr>
      <w:r w:rsidRPr="000251CF">
        <w:rPr>
          <w:rFonts w:ascii="Calibri" w:eastAsia="Times New Roman" w:hAnsi="Calibri" w:cs="Times New Roman"/>
          <w:b/>
          <w:bCs/>
          <w:iCs/>
        </w:rPr>
        <w:t>Related Party Transactions</w:t>
      </w:r>
    </w:p>
    <w:p w14:paraId="701F5D17"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There were no related party transactions with the QCA's key management personnel in 2019–20 or 2020–21.</w:t>
      </w:r>
    </w:p>
    <w:p w14:paraId="7E432C0B"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Note 8:</w:t>
      </w:r>
    </w:p>
    <w:tbl>
      <w:tblPr>
        <w:tblW w:w="9639" w:type="dxa"/>
        <w:tblInd w:w="-30" w:type="dxa"/>
        <w:tblLayout w:type="fixed"/>
        <w:tblLook w:val="0000" w:firstRow="0" w:lastRow="0" w:firstColumn="0" w:lastColumn="0" w:noHBand="0" w:noVBand="0"/>
      </w:tblPr>
      <w:tblGrid>
        <w:gridCol w:w="2930"/>
        <w:gridCol w:w="3354"/>
        <w:gridCol w:w="1830"/>
        <w:gridCol w:w="1525"/>
      </w:tblGrid>
      <w:tr w:rsidR="000251CF" w:rsidRPr="000251CF" w14:paraId="526BBD00" w14:textId="77777777" w:rsidTr="001747B4">
        <w:trPr>
          <w:trHeight w:val="142"/>
        </w:trPr>
        <w:tc>
          <w:tcPr>
            <w:tcW w:w="2724" w:type="dxa"/>
            <w:tcBorders>
              <w:top w:val="nil"/>
              <w:left w:val="nil"/>
              <w:right w:val="nil"/>
            </w:tcBorders>
          </w:tcPr>
          <w:p w14:paraId="71FDA964" w14:textId="77777777" w:rsidR="000251CF" w:rsidRPr="000251CF" w:rsidRDefault="000251CF" w:rsidP="001747B4">
            <w:pPr>
              <w:autoSpaceDE w:val="0"/>
              <w:autoSpaceDN w:val="0"/>
              <w:adjustRightInd w:val="0"/>
              <w:spacing w:before="0" w:after="0" w:line="240" w:lineRule="auto"/>
              <w:ind w:left="1679" w:hanging="1679"/>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Supplies and Services</w:t>
            </w:r>
          </w:p>
        </w:tc>
        <w:tc>
          <w:tcPr>
            <w:tcW w:w="3118" w:type="dxa"/>
            <w:tcBorders>
              <w:top w:val="nil"/>
              <w:left w:val="nil"/>
              <w:right w:val="nil"/>
            </w:tcBorders>
          </w:tcPr>
          <w:p w14:paraId="2B5843D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nil"/>
              <w:left w:val="nil"/>
              <w:right w:val="nil"/>
            </w:tcBorders>
            <w:shd w:val="solid" w:color="C0C0C0" w:fill="auto"/>
          </w:tcPr>
          <w:p w14:paraId="7430235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418" w:type="dxa"/>
            <w:tcBorders>
              <w:top w:val="nil"/>
              <w:left w:val="nil"/>
              <w:right w:val="nil"/>
            </w:tcBorders>
            <w:shd w:val="solid" w:color="C0C0C0" w:fill="auto"/>
          </w:tcPr>
          <w:p w14:paraId="75C99BD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55FC6D1F" w14:textId="77777777" w:rsidTr="001747B4">
        <w:trPr>
          <w:trHeight w:val="142"/>
        </w:trPr>
        <w:tc>
          <w:tcPr>
            <w:tcW w:w="2724" w:type="dxa"/>
            <w:tcBorders>
              <w:top w:val="nil"/>
              <w:left w:val="nil"/>
              <w:bottom w:val="single" w:sz="6" w:space="0" w:color="auto"/>
              <w:right w:val="nil"/>
            </w:tcBorders>
          </w:tcPr>
          <w:p w14:paraId="0A3E90A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3118" w:type="dxa"/>
            <w:tcBorders>
              <w:top w:val="nil"/>
              <w:left w:val="nil"/>
              <w:bottom w:val="single" w:sz="6" w:space="0" w:color="auto"/>
              <w:right w:val="nil"/>
            </w:tcBorders>
          </w:tcPr>
          <w:p w14:paraId="1D3F2BF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nil"/>
              <w:left w:val="nil"/>
              <w:bottom w:val="single" w:sz="6" w:space="0" w:color="auto"/>
              <w:right w:val="nil"/>
            </w:tcBorders>
            <w:shd w:val="solid" w:color="C0C0C0" w:fill="auto"/>
          </w:tcPr>
          <w:p w14:paraId="1B871E9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418" w:type="dxa"/>
            <w:tcBorders>
              <w:top w:val="nil"/>
              <w:left w:val="nil"/>
              <w:bottom w:val="single" w:sz="6" w:space="0" w:color="auto"/>
              <w:right w:val="nil"/>
            </w:tcBorders>
            <w:shd w:val="solid" w:color="C0C0C0" w:fill="auto"/>
          </w:tcPr>
          <w:p w14:paraId="29AC671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31CBD722" w14:textId="77777777" w:rsidTr="001747B4">
        <w:trPr>
          <w:trHeight w:val="142"/>
        </w:trPr>
        <w:tc>
          <w:tcPr>
            <w:tcW w:w="2724" w:type="dxa"/>
            <w:tcBorders>
              <w:top w:val="single" w:sz="6" w:space="0" w:color="auto"/>
              <w:left w:val="nil"/>
              <w:bottom w:val="nil"/>
              <w:right w:val="nil"/>
            </w:tcBorders>
          </w:tcPr>
          <w:p w14:paraId="4FF310D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Specialist Services</w:t>
            </w:r>
          </w:p>
        </w:tc>
        <w:tc>
          <w:tcPr>
            <w:tcW w:w="3118" w:type="dxa"/>
            <w:tcBorders>
              <w:top w:val="single" w:sz="6" w:space="0" w:color="auto"/>
              <w:left w:val="nil"/>
              <w:bottom w:val="nil"/>
              <w:right w:val="nil"/>
            </w:tcBorders>
          </w:tcPr>
          <w:p w14:paraId="3AD99B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701" w:type="dxa"/>
            <w:tcBorders>
              <w:top w:val="single" w:sz="6" w:space="0" w:color="auto"/>
              <w:left w:val="nil"/>
              <w:bottom w:val="nil"/>
              <w:right w:val="nil"/>
            </w:tcBorders>
          </w:tcPr>
          <w:p w14:paraId="49358B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989,424</w:t>
            </w:r>
          </w:p>
        </w:tc>
        <w:tc>
          <w:tcPr>
            <w:tcW w:w="1418" w:type="dxa"/>
            <w:tcBorders>
              <w:top w:val="single" w:sz="6" w:space="0" w:color="auto"/>
              <w:left w:val="nil"/>
              <w:bottom w:val="nil"/>
              <w:right w:val="nil"/>
            </w:tcBorders>
          </w:tcPr>
          <w:p w14:paraId="2644A07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3,138,239</w:t>
            </w:r>
          </w:p>
        </w:tc>
      </w:tr>
      <w:tr w:rsidR="000251CF" w:rsidRPr="000251CF" w14:paraId="5E760F41" w14:textId="77777777" w:rsidTr="001747B4">
        <w:trPr>
          <w:trHeight w:val="142"/>
        </w:trPr>
        <w:tc>
          <w:tcPr>
            <w:tcW w:w="2724" w:type="dxa"/>
            <w:tcBorders>
              <w:top w:val="nil"/>
              <w:left w:val="nil"/>
              <w:bottom w:val="nil"/>
              <w:right w:val="nil"/>
            </w:tcBorders>
          </w:tcPr>
          <w:p w14:paraId="7409032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Occupancy Costs</w:t>
            </w:r>
          </w:p>
        </w:tc>
        <w:tc>
          <w:tcPr>
            <w:tcW w:w="3118" w:type="dxa"/>
            <w:tcBorders>
              <w:top w:val="nil"/>
              <w:left w:val="nil"/>
              <w:bottom w:val="nil"/>
              <w:right w:val="nil"/>
            </w:tcBorders>
          </w:tcPr>
          <w:p w14:paraId="18CAB3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701" w:type="dxa"/>
            <w:tcBorders>
              <w:top w:val="nil"/>
              <w:left w:val="nil"/>
              <w:bottom w:val="nil"/>
              <w:right w:val="nil"/>
            </w:tcBorders>
          </w:tcPr>
          <w:p w14:paraId="3360A80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223,818</w:t>
            </w:r>
          </w:p>
        </w:tc>
        <w:tc>
          <w:tcPr>
            <w:tcW w:w="1418" w:type="dxa"/>
            <w:tcBorders>
              <w:top w:val="nil"/>
              <w:left w:val="nil"/>
              <w:bottom w:val="nil"/>
              <w:right w:val="nil"/>
            </w:tcBorders>
          </w:tcPr>
          <w:p w14:paraId="1E19CA6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206,630</w:t>
            </w:r>
          </w:p>
        </w:tc>
      </w:tr>
      <w:tr w:rsidR="000251CF" w:rsidRPr="000251CF" w14:paraId="4F48FF34" w14:textId="77777777" w:rsidTr="001747B4">
        <w:trPr>
          <w:trHeight w:val="142"/>
        </w:trPr>
        <w:tc>
          <w:tcPr>
            <w:tcW w:w="5842" w:type="dxa"/>
            <w:gridSpan w:val="2"/>
            <w:tcBorders>
              <w:top w:val="nil"/>
              <w:left w:val="nil"/>
              <w:bottom w:val="nil"/>
              <w:right w:val="nil"/>
            </w:tcBorders>
          </w:tcPr>
          <w:p w14:paraId="723421E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Information Technology Costs</w:t>
            </w:r>
          </w:p>
        </w:tc>
        <w:tc>
          <w:tcPr>
            <w:tcW w:w="1701" w:type="dxa"/>
            <w:tcBorders>
              <w:top w:val="nil"/>
              <w:left w:val="nil"/>
              <w:bottom w:val="nil"/>
              <w:right w:val="nil"/>
            </w:tcBorders>
          </w:tcPr>
          <w:p w14:paraId="55058D5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209,744</w:t>
            </w:r>
          </w:p>
        </w:tc>
        <w:tc>
          <w:tcPr>
            <w:tcW w:w="1418" w:type="dxa"/>
            <w:tcBorders>
              <w:top w:val="nil"/>
              <w:left w:val="nil"/>
              <w:bottom w:val="nil"/>
              <w:right w:val="nil"/>
            </w:tcBorders>
          </w:tcPr>
          <w:p w14:paraId="510BDD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395,377</w:t>
            </w:r>
          </w:p>
        </w:tc>
      </w:tr>
      <w:tr w:rsidR="000251CF" w:rsidRPr="000251CF" w14:paraId="23FF84C3" w14:textId="77777777" w:rsidTr="001747B4">
        <w:trPr>
          <w:trHeight w:val="142"/>
        </w:trPr>
        <w:tc>
          <w:tcPr>
            <w:tcW w:w="5842" w:type="dxa"/>
            <w:gridSpan w:val="2"/>
            <w:tcBorders>
              <w:top w:val="nil"/>
              <w:left w:val="nil"/>
              <w:bottom w:val="nil"/>
              <w:right w:val="nil"/>
            </w:tcBorders>
          </w:tcPr>
          <w:p w14:paraId="3E733FCA"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Travel and Accommodation Costs</w:t>
            </w:r>
          </w:p>
        </w:tc>
        <w:tc>
          <w:tcPr>
            <w:tcW w:w="1701" w:type="dxa"/>
            <w:tcBorders>
              <w:top w:val="nil"/>
              <w:left w:val="nil"/>
              <w:bottom w:val="nil"/>
              <w:right w:val="nil"/>
            </w:tcBorders>
          </w:tcPr>
          <w:p w14:paraId="6662F05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1,828</w:t>
            </w:r>
          </w:p>
        </w:tc>
        <w:tc>
          <w:tcPr>
            <w:tcW w:w="1418" w:type="dxa"/>
            <w:tcBorders>
              <w:top w:val="nil"/>
              <w:left w:val="nil"/>
              <w:bottom w:val="nil"/>
              <w:right w:val="nil"/>
            </w:tcBorders>
          </w:tcPr>
          <w:p w14:paraId="7CAA154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23,503</w:t>
            </w:r>
          </w:p>
        </w:tc>
      </w:tr>
      <w:tr w:rsidR="000251CF" w:rsidRPr="000251CF" w14:paraId="04DE3134" w14:textId="77777777" w:rsidTr="001747B4">
        <w:trPr>
          <w:trHeight w:val="142"/>
        </w:trPr>
        <w:tc>
          <w:tcPr>
            <w:tcW w:w="2724" w:type="dxa"/>
            <w:tcBorders>
              <w:top w:val="nil"/>
              <w:left w:val="nil"/>
              <w:bottom w:val="nil"/>
              <w:right w:val="nil"/>
            </w:tcBorders>
          </w:tcPr>
          <w:p w14:paraId="1C94EE68"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Bank Fees and Charges</w:t>
            </w:r>
          </w:p>
        </w:tc>
        <w:tc>
          <w:tcPr>
            <w:tcW w:w="3118" w:type="dxa"/>
            <w:tcBorders>
              <w:top w:val="nil"/>
              <w:left w:val="nil"/>
              <w:bottom w:val="nil"/>
              <w:right w:val="nil"/>
            </w:tcBorders>
          </w:tcPr>
          <w:p w14:paraId="188ABCC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701" w:type="dxa"/>
            <w:tcBorders>
              <w:top w:val="nil"/>
              <w:left w:val="nil"/>
              <w:bottom w:val="nil"/>
              <w:right w:val="nil"/>
            </w:tcBorders>
          </w:tcPr>
          <w:p w14:paraId="1D793CE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17,727</w:t>
            </w:r>
          </w:p>
        </w:tc>
        <w:tc>
          <w:tcPr>
            <w:tcW w:w="1418" w:type="dxa"/>
            <w:tcBorders>
              <w:top w:val="nil"/>
              <w:left w:val="nil"/>
              <w:bottom w:val="nil"/>
              <w:right w:val="nil"/>
            </w:tcBorders>
          </w:tcPr>
          <w:p w14:paraId="4F22CB4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20,117</w:t>
            </w:r>
          </w:p>
        </w:tc>
      </w:tr>
      <w:tr w:rsidR="000251CF" w:rsidRPr="000251CF" w14:paraId="3451F15C" w14:textId="77777777" w:rsidTr="001747B4">
        <w:trPr>
          <w:trHeight w:val="142"/>
        </w:trPr>
        <w:tc>
          <w:tcPr>
            <w:tcW w:w="5842" w:type="dxa"/>
            <w:gridSpan w:val="2"/>
            <w:tcBorders>
              <w:top w:val="nil"/>
              <w:left w:val="nil"/>
              <w:bottom w:val="nil"/>
              <w:right w:val="nil"/>
            </w:tcBorders>
          </w:tcPr>
          <w:p w14:paraId="5B123E6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General Administration Costs</w:t>
            </w:r>
          </w:p>
        </w:tc>
        <w:tc>
          <w:tcPr>
            <w:tcW w:w="1701" w:type="dxa"/>
            <w:tcBorders>
              <w:top w:val="nil"/>
              <w:left w:val="nil"/>
              <w:bottom w:val="nil"/>
              <w:right w:val="nil"/>
            </w:tcBorders>
          </w:tcPr>
          <w:p w14:paraId="65F0DD3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104,078</w:t>
            </w:r>
          </w:p>
        </w:tc>
        <w:tc>
          <w:tcPr>
            <w:tcW w:w="1418" w:type="dxa"/>
            <w:tcBorders>
              <w:top w:val="nil"/>
              <w:left w:val="nil"/>
              <w:bottom w:val="nil"/>
              <w:right w:val="nil"/>
            </w:tcBorders>
          </w:tcPr>
          <w:p w14:paraId="6462909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100,768</w:t>
            </w:r>
          </w:p>
        </w:tc>
      </w:tr>
      <w:tr w:rsidR="000251CF" w:rsidRPr="000251CF" w14:paraId="430A2F84" w14:textId="77777777" w:rsidTr="001747B4">
        <w:trPr>
          <w:trHeight w:val="142"/>
        </w:trPr>
        <w:tc>
          <w:tcPr>
            <w:tcW w:w="2724" w:type="dxa"/>
            <w:tcBorders>
              <w:top w:val="nil"/>
              <w:left w:val="nil"/>
              <w:bottom w:val="nil"/>
              <w:right w:val="nil"/>
            </w:tcBorders>
          </w:tcPr>
          <w:p w14:paraId="46A51D9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Other </w:t>
            </w:r>
          </w:p>
        </w:tc>
        <w:tc>
          <w:tcPr>
            <w:tcW w:w="3118" w:type="dxa"/>
            <w:tcBorders>
              <w:top w:val="nil"/>
              <w:left w:val="nil"/>
              <w:bottom w:val="nil"/>
              <w:right w:val="nil"/>
            </w:tcBorders>
          </w:tcPr>
          <w:p w14:paraId="476D8C3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701" w:type="dxa"/>
            <w:tcBorders>
              <w:top w:val="nil"/>
              <w:left w:val="nil"/>
              <w:bottom w:val="nil"/>
              <w:right w:val="nil"/>
            </w:tcBorders>
          </w:tcPr>
          <w:p w14:paraId="50A8E9B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94,356</w:t>
            </w:r>
          </w:p>
        </w:tc>
        <w:tc>
          <w:tcPr>
            <w:tcW w:w="1418" w:type="dxa"/>
            <w:tcBorders>
              <w:top w:val="nil"/>
              <w:left w:val="nil"/>
              <w:bottom w:val="nil"/>
              <w:right w:val="nil"/>
            </w:tcBorders>
          </w:tcPr>
          <w:p w14:paraId="7B1A826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118,088</w:t>
            </w:r>
          </w:p>
        </w:tc>
      </w:tr>
      <w:tr w:rsidR="000251CF" w:rsidRPr="000251CF" w14:paraId="7A944D88" w14:textId="77777777" w:rsidTr="001747B4">
        <w:trPr>
          <w:trHeight w:val="142"/>
        </w:trPr>
        <w:tc>
          <w:tcPr>
            <w:tcW w:w="2724" w:type="dxa"/>
            <w:tcBorders>
              <w:top w:val="nil"/>
              <w:left w:val="nil"/>
              <w:bottom w:val="nil"/>
              <w:right w:val="nil"/>
            </w:tcBorders>
          </w:tcPr>
          <w:p w14:paraId="78CDC37A"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3118" w:type="dxa"/>
            <w:tcBorders>
              <w:top w:val="nil"/>
              <w:left w:val="nil"/>
              <w:bottom w:val="nil"/>
              <w:right w:val="nil"/>
            </w:tcBorders>
          </w:tcPr>
          <w:p w14:paraId="08D1081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nil"/>
              <w:left w:val="nil"/>
              <w:bottom w:val="nil"/>
              <w:right w:val="nil"/>
            </w:tcBorders>
          </w:tcPr>
          <w:p w14:paraId="562F71F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1,640,975</w:t>
            </w:r>
          </w:p>
        </w:tc>
        <w:tc>
          <w:tcPr>
            <w:tcW w:w="1418" w:type="dxa"/>
            <w:tcBorders>
              <w:top w:val="nil"/>
              <w:left w:val="nil"/>
              <w:bottom w:val="nil"/>
              <w:right w:val="nil"/>
            </w:tcBorders>
          </w:tcPr>
          <w:p w14:paraId="7534830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4,002,722 </w:t>
            </w:r>
          </w:p>
        </w:tc>
      </w:tr>
    </w:tbl>
    <w:p w14:paraId="266F4315" w14:textId="77777777" w:rsidR="000251CF" w:rsidRPr="000251CF" w:rsidRDefault="000251CF" w:rsidP="000251CF">
      <w:pPr>
        <w:spacing w:before="120" w:after="0" w:line="240" w:lineRule="auto"/>
        <w:rPr>
          <w:rFonts w:ascii="Calibri" w:eastAsia="Times New Roman" w:hAnsi="Calibri" w:cs="Times New Roman"/>
          <w:b/>
          <w:szCs w:val="20"/>
        </w:rPr>
      </w:pPr>
      <w:r w:rsidRPr="000251CF">
        <w:rPr>
          <w:rFonts w:ascii="Calibri" w:eastAsia="Times New Roman" w:hAnsi="Calibri" w:cs="Times New Roman"/>
          <w:b/>
          <w:szCs w:val="20"/>
        </w:rPr>
        <w:t>Accounting Policy</w:t>
      </w:r>
    </w:p>
    <w:p w14:paraId="156D4D08"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Expenses for supplies and services are recognised upon receipt of the goods or services ordered and are measured at the nominal amount.</w:t>
      </w:r>
    </w:p>
    <w:p w14:paraId="1D30DB90" w14:textId="77777777" w:rsidR="000251CF" w:rsidRPr="000251CF" w:rsidRDefault="000251CF" w:rsidP="000251CF">
      <w:pPr>
        <w:spacing w:before="0" w:after="0" w:line="240" w:lineRule="auto"/>
        <w:rPr>
          <w:rFonts w:ascii="Calibri" w:eastAsia="Times New Roman" w:hAnsi="Calibri" w:cs="Times New Roman"/>
          <w:b/>
          <w:szCs w:val="20"/>
        </w:rPr>
      </w:pPr>
    </w:p>
    <w:p w14:paraId="7663EADE"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br w:type="page"/>
      </w:r>
    </w:p>
    <w:p w14:paraId="72363265"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lastRenderedPageBreak/>
        <w:t>Note 9:</w:t>
      </w:r>
    </w:p>
    <w:tbl>
      <w:tblPr>
        <w:tblW w:w="9136" w:type="dxa"/>
        <w:tblLook w:val="04A0" w:firstRow="1" w:lastRow="0" w:firstColumn="1" w:lastColumn="0" w:noHBand="0" w:noVBand="1"/>
      </w:tblPr>
      <w:tblGrid>
        <w:gridCol w:w="2758"/>
        <w:gridCol w:w="429"/>
        <w:gridCol w:w="2625"/>
        <w:gridCol w:w="1691"/>
        <w:gridCol w:w="1633"/>
      </w:tblGrid>
      <w:tr w:rsidR="000251CF" w:rsidRPr="000251CF" w14:paraId="4A42666C" w14:textId="77777777" w:rsidTr="0088213C">
        <w:trPr>
          <w:trHeight w:val="240"/>
        </w:trPr>
        <w:tc>
          <w:tcPr>
            <w:tcW w:w="2758" w:type="dxa"/>
            <w:tcBorders>
              <w:top w:val="nil"/>
              <w:left w:val="nil"/>
              <w:right w:val="nil"/>
            </w:tcBorders>
            <w:shd w:val="clear" w:color="auto" w:fill="auto"/>
            <w:noWrap/>
            <w:vAlign w:val="bottom"/>
            <w:hideMark/>
          </w:tcPr>
          <w:p w14:paraId="24382E53" w14:textId="77777777" w:rsidR="000251CF" w:rsidRPr="000251CF" w:rsidRDefault="000251CF" w:rsidP="000251CF">
            <w:pPr>
              <w:spacing w:before="0" w:after="0" w:line="240" w:lineRule="auto"/>
              <w:rPr>
                <w:rFonts w:ascii="Tahoma" w:eastAsia="Times New Roman" w:hAnsi="Tahoma" w:cs="Tahoma"/>
                <w:b/>
                <w:sz w:val="16"/>
                <w:szCs w:val="16"/>
                <w:lang w:eastAsia="en-AU"/>
              </w:rPr>
            </w:pPr>
            <w:r w:rsidRPr="000251CF">
              <w:rPr>
                <w:rFonts w:ascii="Tahoma" w:eastAsia="Times New Roman" w:hAnsi="Tahoma" w:cs="Tahoma"/>
                <w:b/>
                <w:sz w:val="16"/>
                <w:szCs w:val="16"/>
                <w:lang w:eastAsia="en-AU"/>
              </w:rPr>
              <w:t>Fee Expense</w:t>
            </w:r>
          </w:p>
        </w:tc>
        <w:tc>
          <w:tcPr>
            <w:tcW w:w="429" w:type="dxa"/>
            <w:tcBorders>
              <w:top w:val="nil"/>
              <w:left w:val="nil"/>
              <w:right w:val="nil"/>
            </w:tcBorders>
            <w:shd w:val="clear" w:color="auto" w:fill="auto"/>
            <w:noWrap/>
            <w:vAlign w:val="bottom"/>
            <w:hideMark/>
          </w:tcPr>
          <w:p w14:paraId="1A55F3B5"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2625" w:type="dxa"/>
            <w:tcBorders>
              <w:top w:val="nil"/>
              <w:left w:val="nil"/>
              <w:right w:val="nil"/>
            </w:tcBorders>
            <w:shd w:val="clear" w:color="auto" w:fill="auto"/>
            <w:noWrap/>
            <w:vAlign w:val="bottom"/>
            <w:hideMark/>
          </w:tcPr>
          <w:p w14:paraId="6E731A27"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691" w:type="dxa"/>
            <w:tcBorders>
              <w:top w:val="nil"/>
              <w:left w:val="nil"/>
              <w:right w:val="nil"/>
            </w:tcBorders>
            <w:shd w:val="clear" w:color="000000" w:fill="C0C0C0"/>
            <w:noWrap/>
            <w:vAlign w:val="bottom"/>
            <w:hideMark/>
          </w:tcPr>
          <w:p w14:paraId="50BF3B3C" w14:textId="77777777" w:rsidR="000251CF" w:rsidRPr="000251CF" w:rsidRDefault="000251CF" w:rsidP="000251CF">
            <w:pPr>
              <w:spacing w:before="0" w:after="0" w:line="240" w:lineRule="auto"/>
              <w:ind w:left="694"/>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2021</w:t>
            </w:r>
          </w:p>
        </w:tc>
        <w:tc>
          <w:tcPr>
            <w:tcW w:w="1633" w:type="dxa"/>
            <w:tcBorders>
              <w:top w:val="nil"/>
              <w:left w:val="nil"/>
              <w:right w:val="nil"/>
            </w:tcBorders>
            <w:shd w:val="clear" w:color="000000" w:fill="C0C0C0"/>
            <w:noWrap/>
            <w:vAlign w:val="bottom"/>
            <w:hideMark/>
          </w:tcPr>
          <w:p w14:paraId="53504A62"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2020</w:t>
            </w:r>
          </w:p>
        </w:tc>
      </w:tr>
      <w:tr w:rsidR="000251CF" w:rsidRPr="000251CF" w14:paraId="117AAC6A" w14:textId="77777777" w:rsidTr="0088213C">
        <w:trPr>
          <w:trHeight w:val="240"/>
        </w:trPr>
        <w:tc>
          <w:tcPr>
            <w:tcW w:w="2758" w:type="dxa"/>
            <w:tcBorders>
              <w:top w:val="nil"/>
              <w:left w:val="nil"/>
              <w:bottom w:val="single" w:sz="6" w:space="0" w:color="auto"/>
              <w:right w:val="nil"/>
            </w:tcBorders>
            <w:shd w:val="clear" w:color="auto" w:fill="auto"/>
            <w:noWrap/>
            <w:vAlign w:val="bottom"/>
            <w:hideMark/>
          </w:tcPr>
          <w:p w14:paraId="70600863" w14:textId="77777777" w:rsidR="000251CF" w:rsidRPr="000251CF" w:rsidRDefault="000251CF" w:rsidP="000251CF">
            <w:pPr>
              <w:spacing w:before="0" w:after="0" w:line="240" w:lineRule="auto"/>
              <w:rPr>
                <w:rFonts w:ascii="Tahoma" w:eastAsia="Times New Roman" w:hAnsi="Tahoma" w:cs="Tahoma"/>
                <w:b/>
                <w:bCs/>
                <w:sz w:val="16"/>
                <w:szCs w:val="16"/>
                <w:lang w:eastAsia="en-AU"/>
              </w:rPr>
            </w:pPr>
          </w:p>
        </w:tc>
        <w:tc>
          <w:tcPr>
            <w:tcW w:w="429" w:type="dxa"/>
            <w:tcBorders>
              <w:top w:val="nil"/>
              <w:left w:val="nil"/>
              <w:bottom w:val="single" w:sz="6" w:space="0" w:color="auto"/>
              <w:right w:val="nil"/>
            </w:tcBorders>
            <w:shd w:val="clear" w:color="auto" w:fill="auto"/>
            <w:noWrap/>
            <w:vAlign w:val="bottom"/>
            <w:hideMark/>
          </w:tcPr>
          <w:p w14:paraId="2F2E9EEC" w14:textId="77777777" w:rsidR="000251CF" w:rsidRPr="000251CF" w:rsidRDefault="000251CF" w:rsidP="000251CF">
            <w:pPr>
              <w:spacing w:before="0" w:after="0" w:line="240" w:lineRule="auto"/>
              <w:rPr>
                <w:rFonts w:ascii="Tahoma" w:eastAsia="Times New Roman" w:hAnsi="Tahoma" w:cs="Tahoma"/>
                <w:b/>
                <w:bCs/>
                <w:sz w:val="16"/>
                <w:szCs w:val="16"/>
                <w:lang w:eastAsia="en-AU"/>
              </w:rPr>
            </w:pPr>
          </w:p>
        </w:tc>
        <w:tc>
          <w:tcPr>
            <w:tcW w:w="2625" w:type="dxa"/>
            <w:tcBorders>
              <w:top w:val="nil"/>
              <w:left w:val="nil"/>
              <w:bottom w:val="single" w:sz="6" w:space="0" w:color="auto"/>
              <w:right w:val="nil"/>
            </w:tcBorders>
            <w:shd w:val="clear" w:color="auto" w:fill="auto"/>
            <w:noWrap/>
            <w:vAlign w:val="bottom"/>
            <w:hideMark/>
          </w:tcPr>
          <w:p w14:paraId="2A939F60"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691" w:type="dxa"/>
            <w:tcBorders>
              <w:top w:val="nil"/>
              <w:left w:val="nil"/>
              <w:bottom w:val="single" w:sz="6" w:space="0" w:color="auto"/>
              <w:right w:val="nil"/>
            </w:tcBorders>
            <w:shd w:val="clear" w:color="000000" w:fill="C0C0C0"/>
            <w:noWrap/>
            <w:vAlign w:val="bottom"/>
            <w:hideMark/>
          </w:tcPr>
          <w:p w14:paraId="7C55DEF8"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w:t>
            </w:r>
          </w:p>
        </w:tc>
        <w:tc>
          <w:tcPr>
            <w:tcW w:w="1633" w:type="dxa"/>
            <w:tcBorders>
              <w:top w:val="nil"/>
              <w:left w:val="nil"/>
              <w:bottom w:val="single" w:sz="6" w:space="0" w:color="auto"/>
              <w:right w:val="nil"/>
            </w:tcBorders>
            <w:shd w:val="clear" w:color="000000" w:fill="C0C0C0"/>
            <w:noWrap/>
            <w:vAlign w:val="bottom"/>
            <w:hideMark/>
          </w:tcPr>
          <w:p w14:paraId="0557B9AC"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w:t>
            </w:r>
          </w:p>
        </w:tc>
      </w:tr>
      <w:tr w:rsidR="000251CF" w:rsidRPr="000251CF" w14:paraId="24027905" w14:textId="77777777" w:rsidTr="0088213C">
        <w:trPr>
          <w:trHeight w:val="255"/>
        </w:trPr>
        <w:tc>
          <w:tcPr>
            <w:tcW w:w="2758" w:type="dxa"/>
            <w:tcBorders>
              <w:top w:val="single" w:sz="6" w:space="0" w:color="auto"/>
              <w:left w:val="nil"/>
              <w:bottom w:val="nil"/>
              <w:right w:val="nil"/>
            </w:tcBorders>
            <w:shd w:val="clear" w:color="auto" w:fill="auto"/>
            <w:noWrap/>
            <w:vAlign w:val="bottom"/>
            <w:hideMark/>
          </w:tcPr>
          <w:p w14:paraId="2A352970" w14:textId="77777777" w:rsidR="000251CF" w:rsidRPr="000251CF" w:rsidRDefault="000251CF" w:rsidP="000251CF">
            <w:pPr>
              <w:spacing w:before="0" w:after="0" w:line="240" w:lineRule="auto"/>
              <w:rPr>
                <w:rFonts w:ascii="Tahoma" w:eastAsia="Times New Roman" w:hAnsi="Tahoma" w:cs="Tahoma"/>
                <w:sz w:val="16"/>
                <w:szCs w:val="16"/>
                <w:lang w:eastAsia="en-AU"/>
              </w:rPr>
            </w:pPr>
            <w:r w:rsidRPr="000251CF">
              <w:rPr>
                <w:rFonts w:ascii="Tahoma" w:eastAsia="Times New Roman" w:hAnsi="Tahoma" w:cs="Tahoma"/>
                <w:sz w:val="16"/>
                <w:szCs w:val="16"/>
                <w:lang w:eastAsia="en-AU"/>
              </w:rPr>
              <w:t>Fee Expense*</w:t>
            </w:r>
          </w:p>
        </w:tc>
        <w:tc>
          <w:tcPr>
            <w:tcW w:w="429" w:type="dxa"/>
            <w:tcBorders>
              <w:top w:val="single" w:sz="6" w:space="0" w:color="auto"/>
              <w:left w:val="nil"/>
              <w:bottom w:val="nil"/>
              <w:right w:val="nil"/>
            </w:tcBorders>
            <w:shd w:val="clear" w:color="auto" w:fill="auto"/>
            <w:noWrap/>
            <w:vAlign w:val="bottom"/>
            <w:hideMark/>
          </w:tcPr>
          <w:p w14:paraId="548379BD"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2625" w:type="dxa"/>
            <w:tcBorders>
              <w:top w:val="single" w:sz="6" w:space="0" w:color="auto"/>
              <w:left w:val="nil"/>
              <w:bottom w:val="nil"/>
              <w:right w:val="nil"/>
            </w:tcBorders>
            <w:shd w:val="clear" w:color="auto" w:fill="auto"/>
            <w:noWrap/>
            <w:vAlign w:val="bottom"/>
            <w:hideMark/>
          </w:tcPr>
          <w:p w14:paraId="52E22F83"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691" w:type="dxa"/>
            <w:tcBorders>
              <w:top w:val="single" w:sz="6" w:space="0" w:color="auto"/>
              <w:left w:val="nil"/>
              <w:bottom w:val="nil"/>
              <w:right w:val="nil"/>
            </w:tcBorders>
            <w:shd w:val="clear" w:color="auto" w:fill="auto"/>
            <w:noWrap/>
            <w:vAlign w:val="bottom"/>
            <w:hideMark/>
          </w:tcPr>
          <w:p w14:paraId="4A4584FD" w14:textId="77777777" w:rsidR="000251CF" w:rsidRPr="000251CF" w:rsidRDefault="000251CF" w:rsidP="000251CF">
            <w:pPr>
              <w:spacing w:before="0" w:after="0" w:line="240" w:lineRule="auto"/>
              <w:jc w:val="right"/>
              <w:rPr>
                <w:rFonts w:ascii="Tahoma" w:eastAsia="Times New Roman" w:hAnsi="Tahoma" w:cs="Tahoma"/>
                <w:sz w:val="16"/>
                <w:szCs w:val="16"/>
                <w:lang w:eastAsia="en-AU"/>
              </w:rPr>
            </w:pPr>
            <w:r w:rsidRPr="000251CF">
              <w:rPr>
                <w:rFonts w:ascii="Tahoma" w:eastAsia="Times New Roman" w:hAnsi="Tahoma" w:cs="Tahoma"/>
                <w:sz w:val="16"/>
                <w:szCs w:val="16"/>
                <w:lang w:eastAsia="en-AU"/>
              </w:rPr>
              <w:t>509,830</w:t>
            </w:r>
          </w:p>
        </w:tc>
        <w:tc>
          <w:tcPr>
            <w:tcW w:w="1633" w:type="dxa"/>
            <w:tcBorders>
              <w:top w:val="single" w:sz="6" w:space="0" w:color="auto"/>
              <w:left w:val="nil"/>
              <w:bottom w:val="nil"/>
              <w:right w:val="nil"/>
            </w:tcBorders>
            <w:shd w:val="clear" w:color="auto" w:fill="auto"/>
            <w:noWrap/>
            <w:vAlign w:val="bottom"/>
            <w:hideMark/>
          </w:tcPr>
          <w:p w14:paraId="680BB3ED" w14:textId="77777777" w:rsidR="000251CF" w:rsidRPr="000251CF" w:rsidRDefault="000251CF" w:rsidP="000251CF">
            <w:pPr>
              <w:spacing w:before="0" w:after="0" w:line="240" w:lineRule="auto"/>
              <w:jc w:val="right"/>
              <w:rPr>
                <w:rFonts w:ascii="Tahoma" w:eastAsia="Times New Roman" w:hAnsi="Tahoma" w:cs="Tahoma"/>
                <w:sz w:val="16"/>
                <w:szCs w:val="16"/>
                <w:lang w:eastAsia="en-AU"/>
              </w:rPr>
            </w:pPr>
            <w:r w:rsidRPr="000251CF">
              <w:rPr>
                <w:rFonts w:ascii="Tahoma" w:eastAsia="Times New Roman" w:hAnsi="Tahoma" w:cs="Tahoma"/>
                <w:sz w:val="16"/>
                <w:szCs w:val="16"/>
                <w:lang w:eastAsia="en-AU"/>
              </w:rPr>
              <w:t>1,326,101</w:t>
            </w:r>
          </w:p>
        </w:tc>
      </w:tr>
      <w:tr w:rsidR="000251CF" w:rsidRPr="000251CF" w14:paraId="2C7B0D15" w14:textId="77777777" w:rsidTr="0088213C">
        <w:trPr>
          <w:trHeight w:val="240"/>
        </w:trPr>
        <w:tc>
          <w:tcPr>
            <w:tcW w:w="2758" w:type="dxa"/>
            <w:tcBorders>
              <w:top w:val="nil"/>
              <w:left w:val="nil"/>
              <w:bottom w:val="nil"/>
              <w:right w:val="nil"/>
            </w:tcBorders>
            <w:shd w:val="clear" w:color="auto" w:fill="auto"/>
            <w:vAlign w:val="bottom"/>
            <w:hideMark/>
          </w:tcPr>
          <w:p w14:paraId="0DE97A34" w14:textId="77777777" w:rsidR="000251CF" w:rsidRPr="000251CF" w:rsidRDefault="000251CF" w:rsidP="000251CF">
            <w:pPr>
              <w:spacing w:before="0" w:after="0" w:line="240" w:lineRule="auto"/>
              <w:jc w:val="both"/>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Total</w:t>
            </w:r>
          </w:p>
        </w:tc>
        <w:tc>
          <w:tcPr>
            <w:tcW w:w="429" w:type="dxa"/>
            <w:tcBorders>
              <w:top w:val="nil"/>
              <w:left w:val="nil"/>
              <w:bottom w:val="nil"/>
              <w:right w:val="nil"/>
            </w:tcBorders>
            <w:shd w:val="clear" w:color="auto" w:fill="auto"/>
            <w:vAlign w:val="bottom"/>
            <w:hideMark/>
          </w:tcPr>
          <w:p w14:paraId="5101D802" w14:textId="77777777" w:rsidR="000251CF" w:rsidRPr="000251CF" w:rsidRDefault="000251CF" w:rsidP="000251CF">
            <w:pPr>
              <w:spacing w:before="0" w:after="0" w:line="240" w:lineRule="auto"/>
              <w:jc w:val="both"/>
              <w:rPr>
                <w:rFonts w:ascii="Tahoma" w:eastAsia="Times New Roman" w:hAnsi="Tahoma" w:cs="Tahoma"/>
                <w:b/>
                <w:bCs/>
                <w:sz w:val="16"/>
                <w:szCs w:val="16"/>
                <w:lang w:eastAsia="en-AU"/>
              </w:rPr>
            </w:pPr>
          </w:p>
        </w:tc>
        <w:tc>
          <w:tcPr>
            <w:tcW w:w="2625" w:type="dxa"/>
            <w:tcBorders>
              <w:top w:val="nil"/>
              <w:left w:val="nil"/>
              <w:bottom w:val="nil"/>
              <w:right w:val="nil"/>
            </w:tcBorders>
            <w:shd w:val="clear" w:color="auto" w:fill="auto"/>
            <w:vAlign w:val="bottom"/>
            <w:hideMark/>
          </w:tcPr>
          <w:p w14:paraId="4EC8AAA1" w14:textId="77777777" w:rsidR="000251CF" w:rsidRPr="000251CF" w:rsidRDefault="000251CF" w:rsidP="000251CF">
            <w:pPr>
              <w:spacing w:before="0" w:after="0" w:line="240" w:lineRule="auto"/>
              <w:jc w:val="both"/>
              <w:rPr>
                <w:rFonts w:ascii="Tahoma" w:eastAsia="Times New Roman" w:hAnsi="Tahoma" w:cs="Tahoma"/>
                <w:sz w:val="16"/>
                <w:szCs w:val="16"/>
                <w:lang w:eastAsia="en-AU"/>
              </w:rPr>
            </w:pPr>
          </w:p>
        </w:tc>
        <w:tc>
          <w:tcPr>
            <w:tcW w:w="1691" w:type="dxa"/>
            <w:tcBorders>
              <w:top w:val="nil"/>
              <w:left w:val="nil"/>
              <w:bottom w:val="nil"/>
              <w:right w:val="nil"/>
            </w:tcBorders>
            <w:shd w:val="clear" w:color="auto" w:fill="auto"/>
            <w:noWrap/>
            <w:vAlign w:val="bottom"/>
            <w:hideMark/>
          </w:tcPr>
          <w:p w14:paraId="0346BD88"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509,830</w:t>
            </w:r>
          </w:p>
        </w:tc>
        <w:tc>
          <w:tcPr>
            <w:tcW w:w="1633" w:type="dxa"/>
            <w:tcBorders>
              <w:top w:val="nil"/>
              <w:left w:val="nil"/>
              <w:bottom w:val="nil"/>
              <w:right w:val="nil"/>
            </w:tcBorders>
            <w:shd w:val="clear" w:color="auto" w:fill="auto"/>
            <w:noWrap/>
            <w:vAlign w:val="bottom"/>
            <w:hideMark/>
          </w:tcPr>
          <w:p w14:paraId="4BE1B21E"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1,326,101</w:t>
            </w:r>
          </w:p>
        </w:tc>
      </w:tr>
    </w:tbl>
    <w:p w14:paraId="07B1A37E" w14:textId="77777777" w:rsidR="000251CF" w:rsidRPr="000251CF" w:rsidRDefault="000251CF" w:rsidP="000251CF">
      <w:pPr>
        <w:spacing w:before="0" w:after="120" w:line="240" w:lineRule="auto"/>
        <w:rPr>
          <w:rFonts w:ascii="Calibri" w:eastAsia="Times New Roman" w:hAnsi="Calibri" w:cs="Times New Roman"/>
          <w:szCs w:val="20"/>
        </w:rPr>
      </w:pPr>
      <w:r w:rsidRPr="000251CF">
        <w:rPr>
          <w:rFonts w:ascii="Calibri" w:eastAsia="Times New Roman" w:hAnsi="Calibri" w:cs="Times New Roman"/>
          <w:szCs w:val="20"/>
        </w:rPr>
        <w:t xml:space="preserve">*Fee Expense represents regulated fees received </w:t>
      </w:r>
      <w:proofErr w:type="gramStart"/>
      <w:r w:rsidRPr="000251CF">
        <w:rPr>
          <w:rFonts w:ascii="Calibri" w:eastAsia="Times New Roman" w:hAnsi="Calibri" w:cs="Times New Roman"/>
          <w:szCs w:val="20"/>
        </w:rPr>
        <w:t>in excess of</w:t>
      </w:r>
      <w:proofErr w:type="gramEnd"/>
      <w:r w:rsidRPr="000251CF">
        <w:rPr>
          <w:rFonts w:ascii="Calibri" w:eastAsia="Times New Roman" w:hAnsi="Calibri" w:cs="Times New Roman"/>
          <w:szCs w:val="20"/>
        </w:rPr>
        <w:t xml:space="preserve"> reasonable costs that will be repaid in the next financial year.</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44D9C97A"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Note 10:</w:t>
      </w:r>
    </w:p>
    <w:tbl>
      <w:tblPr>
        <w:tblW w:w="9072" w:type="dxa"/>
        <w:tblLook w:val="04A0" w:firstRow="1" w:lastRow="0" w:firstColumn="1" w:lastColumn="0" w:noHBand="0" w:noVBand="1"/>
      </w:tblPr>
      <w:tblGrid>
        <w:gridCol w:w="2840"/>
        <w:gridCol w:w="421"/>
        <w:gridCol w:w="1984"/>
        <w:gridCol w:w="992"/>
        <w:gridCol w:w="1418"/>
        <w:gridCol w:w="1417"/>
      </w:tblGrid>
      <w:tr w:rsidR="000251CF" w:rsidRPr="000251CF" w14:paraId="3C91B080" w14:textId="77777777" w:rsidTr="0088213C">
        <w:trPr>
          <w:trHeight w:val="240"/>
        </w:trPr>
        <w:tc>
          <w:tcPr>
            <w:tcW w:w="2840" w:type="dxa"/>
            <w:tcBorders>
              <w:top w:val="nil"/>
              <w:left w:val="nil"/>
              <w:right w:val="nil"/>
            </w:tcBorders>
            <w:shd w:val="clear" w:color="auto" w:fill="auto"/>
            <w:noWrap/>
            <w:vAlign w:val="bottom"/>
            <w:hideMark/>
          </w:tcPr>
          <w:p w14:paraId="721329B4" w14:textId="77777777" w:rsidR="000251CF" w:rsidRPr="000251CF" w:rsidRDefault="000251CF" w:rsidP="000251CF">
            <w:pPr>
              <w:spacing w:before="0" w:after="0" w:line="240" w:lineRule="auto"/>
              <w:rPr>
                <w:rFonts w:ascii="Tahoma" w:eastAsia="Times New Roman" w:hAnsi="Tahoma" w:cs="Tahoma"/>
                <w:b/>
                <w:sz w:val="16"/>
                <w:szCs w:val="16"/>
                <w:lang w:eastAsia="en-AU"/>
              </w:rPr>
            </w:pPr>
            <w:r w:rsidRPr="000251CF">
              <w:rPr>
                <w:rFonts w:ascii="Tahoma" w:eastAsia="Times New Roman" w:hAnsi="Tahoma" w:cs="Tahoma"/>
                <w:b/>
                <w:sz w:val="16"/>
                <w:szCs w:val="16"/>
                <w:lang w:eastAsia="en-AU"/>
              </w:rPr>
              <w:t>Other Expenses</w:t>
            </w:r>
          </w:p>
        </w:tc>
        <w:tc>
          <w:tcPr>
            <w:tcW w:w="421" w:type="dxa"/>
            <w:tcBorders>
              <w:top w:val="nil"/>
              <w:left w:val="nil"/>
              <w:right w:val="nil"/>
            </w:tcBorders>
            <w:shd w:val="clear" w:color="auto" w:fill="auto"/>
            <w:noWrap/>
            <w:vAlign w:val="bottom"/>
            <w:hideMark/>
          </w:tcPr>
          <w:p w14:paraId="6433DD2B"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984" w:type="dxa"/>
            <w:tcBorders>
              <w:top w:val="nil"/>
              <w:left w:val="nil"/>
              <w:right w:val="nil"/>
            </w:tcBorders>
            <w:shd w:val="clear" w:color="auto" w:fill="auto"/>
            <w:noWrap/>
            <w:vAlign w:val="bottom"/>
            <w:hideMark/>
          </w:tcPr>
          <w:p w14:paraId="34B8A159"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992" w:type="dxa"/>
            <w:tcBorders>
              <w:top w:val="nil"/>
              <w:left w:val="nil"/>
              <w:right w:val="nil"/>
            </w:tcBorders>
            <w:shd w:val="clear" w:color="auto" w:fill="auto"/>
            <w:noWrap/>
            <w:vAlign w:val="bottom"/>
            <w:hideMark/>
          </w:tcPr>
          <w:p w14:paraId="2A12AE4C"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418" w:type="dxa"/>
            <w:tcBorders>
              <w:top w:val="nil"/>
              <w:left w:val="nil"/>
              <w:right w:val="nil"/>
            </w:tcBorders>
            <w:shd w:val="clear" w:color="000000" w:fill="C0C0C0"/>
            <w:noWrap/>
            <w:vAlign w:val="bottom"/>
            <w:hideMark/>
          </w:tcPr>
          <w:p w14:paraId="29B560B8"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2021</w:t>
            </w:r>
          </w:p>
        </w:tc>
        <w:tc>
          <w:tcPr>
            <w:tcW w:w="1417" w:type="dxa"/>
            <w:tcBorders>
              <w:top w:val="nil"/>
              <w:left w:val="nil"/>
              <w:right w:val="nil"/>
            </w:tcBorders>
            <w:shd w:val="clear" w:color="000000" w:fill="C0C0C0"/>
            <w:noWrap/>
            <w:vAlign w:val="bottom"/>
            <w:hideMark/>
          </w:tcPr>
          <w:p w14:paraId="2E4C34C8"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2020</w:t>
            </w:r>
          </w:p>
        </w:tc>
      </w:tr>
      <w:tr w:rsidR="000251CF" w:rsidRPr="000251CF" w14:paraId="6ACF4CF9" w14:textId="77777777" w:rsidTr="0088213C">
        <w:trPr>
          <w:trHeight w:val="240"/>
        </w:trPr>
        <w:tc>
          <w:tcPr>
            <w:tcW w:w="2840" w:type="dxa"/>
            <w:tcBorders>
              <w:top w:val="nil"/>
              <w:left w:val="nil"/>
              <w:bottom w:val="single" w:sz="6" w:space="0" w:color="auto"/>
              <w:right w:val="nil"/>
            </w:tcBorders>
            <w:shd w:val="clear" w:color="auto" w:fill="auto"/>
            <w:noWrap/>
            <w:vAlign w:val="bottom"/>
            <w:hideMark/>
          </w:tcPr>
          <w:p w14:paraId="3C2D0228" w14:textId="77777777" w:rsidR="000251CF" w:rsidRPr="000251CF" w:rsidRDefault="000251CF" w:rsidP="000251CF">
            <w:pPr>
              <w:spacing w:before="0" w:after="0" w:line="240" w:lineRule="auto"/>
              <w:rPr>
                <w:rFonts w:ascii="Tahoma" w:eastAsia="Times New Roman" w:hAnsi="Tahoma" w:cs="Tahoma"/>
                <w:b/>
                <w:bCs/>
                <w:sz w:val="16"/>
                <w:szCs w:val="16"/>
                <w:lang w:eastAsia="en-AU"/>
              </w:rPr>
            </w:pPr>
          </w:p>
        </w:tc>
        <w:tc>
          <w:tcPr>
            <w:tcW w:w="421" w:type="dxa"/>
            <w:tcBorders>
              <w:top w:val="nil"/>
              <w:left w:val="nil"/>
              <w:bottom w:val="single" w:sz="6" w:space="0" w:color="auto"/>
              <w:right w:val="nil"/>
            </w:tcBorders>
            <w:shd w:val="clear" w:color="auto" w:fill="auto"/>
            <w:noWrap/>
            <w:vAlign w:val="bottom"/>
            <w:hideMark/>
          </w:tcPr>
          <w:p w14:paraId="25B88256" w14:textId="77777777" w:rsidR="000251CF" w:rsidRPr="000251CF" w:rsidRDefault="000251CF" w:rsidP="000251CF">
            <w:pPr>
              <w:spacing w:before="0" w:after="0" w:line="240" w:lineRule="auto"/>
              <w:rPr>
                <w:rFonts w:ascii="Tahoma" w:eastAsia="Times New Roman" w:hAnsi="Tahoma" w:cs="Tahoma"/>
                <w:b/>
                <w:bCs/>
                <w:sz w:val="16"/>
                <w:szCs w:val="16"/>
                <w:lang w:eastAsia="en-AU"/>
              </w:rPr>
            </w:pPr>
          </w:p>
        </w:tc>
        <w:tc>
          <w:tcPr>
            <w:tcW w:w="1984" w:type="dxa"/>
            <w:tcBorders>
              <w:top w:val="nil"/>
              <w:left w:val="nil"/>
              <w:bottom w:val="single" w:sz="6" w:space="0" w:color="auto"/>
              <w:right w:val="nil"/>
            </w:tcBorders>
            <w:shd w:val="clear" w:color="auto" w:fill="auto"/>
            <w:noWrap/>
            <w:vAlign w:val="bottom"/>
            <w:hideMark/>
          </w:tcPr>
          <w:p w14:paraId="326CF3DC"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992" w:type="dxa"/>
            <w:tcBorders>
              <w:top w:val="nil"/>
              <w:left w:val="nil"/>
              <w:bottom w:val="single" w:sz="6" w:space="0" w:color="auto"/>
              <w:right w:val="nil"/>
            </w:tcBorders>
            <w:shd w:val="clear" w:color="auto" w:fill="auto"/>
            <w:noWrap/>
            <w:vAlign w:val="bottom"/>
            <w:hideMark/>
          </w:tcPr>
          <w:p w14:paraId="18D417DD"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418" w:type="dxa"/>
            <w:tcBorders>
              <w:top w:val="nil"/>
              <w:left w:val="nil"/>
              <w:bottom w:val="single" w:sz="6" w:space="0" w:color="auto"/>
              <w:right w:val="nil"/>
            </w:tcBorders>
            <w:shd w:val="clear" w:color="000000" w:fill="C0C0C0"/>
            <w:noWrap/>
            <w:vAlign w:val="bottom"/>
            <w:hideMark/>
          </w:tcPr>
          <w:p w14:paraId="1BA44411"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w:t>
            </w:r>
          </w:p>
        </w:tc>
        <w:tc>
          <w:tcPr>
            <w:tcW w:w="1417" w:type="dxa"/>
            <w:tcBorders>
              <w:top w:val="nil"/>
              <w:left w:val="nil"/>
              <w:bottom w:val="single" w:sz="6" w:space="0" w:color="auto"/>
              <w:right w:val="nil"/>
            </w:tcBorders>
            <w:shd w:val="clear" w:color="000000" w:fill="C0C0C0"/>
            <w:noWrap/>
            <w:vAlign w:val="bottom"/>
            <w:hideMark/>
          </w:tcPr>
          <w:p w14:paraId="07D3FE4C"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w:t>
            </w:r>
          </w:p>
        </w:tc>
      </w:tr>
      <w:tr w:rsidR="000251CF" w:rsidRPr="000251CF" w14:paraId="69E8A2A6" w14:textId="77777777" w:rsidTr="0088213C">
        <w:trPr>
          <w:trHeight w:val="240"/>
        </w:trPr>
        <w:tc>
          <w:tcPr>
            <w:tcW w:w="2840" w:type="dxa"/>
            <w:tcBorders>
              <w:top w:val="single" w:sz="6" w:space="0" w:color="auto"/>
              <w:left w:val="nil"/>
              <w:bottom w:val="nil"/>
              <w:right w:val="nil"/>
            </w:tcBorders>
            <w:shd w:val="clear" w:color="auto" w:fill="auto"/>
            <w:noWrap/>
            <w:vAlign w:val="bottom"/>
            <w:hideMark/>
          </w:tcPr>
          <w:p w14:paraId="2DC8E278" w14:textId="77777777" w:rsidR="000251CF" w:rsidRPr="000251CF" w:rsidRDefault="000251CF" w:rsidP="000251CF">
            <w:pPr>
              <w:spacing w:before="0" w:after="0" w:line="240" w:lineRule="auto"/>
              <w:rPr>
                <w:rFonts w:ascii="Tahoma" w:eastAsia="Times New Roman" w:hAnsi="Tahoma" w:cs="Tahoma"/>
                <w:sz w:val="16"/>
                <w:szCs w:val="16"/>
                <w:lang w:eastAsia="en-AU"/>
              </w:rPr>
            </w:pPr>
            <w:r w:rsidRPr="000251CF">
              <w:rPr>
                <w:rFonts w:ascii="Tahoma" w:eastAsia="Times New Roman" w:hAnsi="Tahoma" w:cs="Tahoma"/>
                <w:sz w:val="16"/>
                <w:szCs w:val="16"/>
                <w:lang w:eastAsia="en-AU"/>
              </w:rPr>
              <w:t>External Audit Fees*</w:t>
            </w:r>
          </w:p>
        </w:tc>
        <w:tc>
          <w:tcPr>
            <w:tcW w:w="421" w:type="dxa"/>
            <w:tcBorders>
              <w:top w:val="single" w:sz="6" w:space="0" w:color="auto"/>
              <w:left w:val="nil"/>
              <w:bottom w:val="nil"/>
              <w:right w:val="nil"/>
            </w:tcBorders>
            <w:shd w:val="clear" w:color="auto" w:fill="auto"/>
            <w:noWrap/>
            <w:vAlign w:val="bottom"/>
            <w:hideMark/>
          </w:tcPr>
          <w:p w14:paraId="0EA4F2BC"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984" w:type="dxa"/>
            <w:tcBorders>
              <w:top w:val="single" w:sz="6" w:space="0" w:color="auto"/>
              <w:left w:val="nil"/>
              <w:bottom w:val="nil"/>
              <w:right w:val="nil"/>
            </w:tcBorders>
            <w:shd w:val="clear" w:color="auto" w:fill="auto"/>
            <w:noWrap/>
            <w:vAlign w:val="bottom"/>
            <w:hideMark/>
          </w:tcPr>
          <w:p w14:paraId="6900C14E"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992" w:type="dxa"/>
            <w:tcBorders>
              <w:top w:val="single" w:sz="6" w:space="0" w:color="auto"/>
              <w:left w:val="nil"/>
              <w:bottom w:val="nil"/>
              <w:right w:val="nil"/>
            </w:tcBorders>
            <w:shd w:val="clear" w:color="auto" w:fill="auto"/>
            <w:noWrap/>
            <w:vAlign w:val="bottom"/>
            <w:hideMark/>
          </w:tcPr>
          <w:p w14:paraId="5D04B137"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418" w:type="dxa"/>
            <w:tcBorders>
              <w:top w:val="single" w:sz="6" w:space="0" w:color="auto"/>
              <w:left w:val="nil"/>
              <w:bottom w:val="nil"/>
              <w:right w:val="nil"/>
            </w:tcBorders>
            <w:shd w:val="clear" w:color="auto" w:fill="auto"/>
            <w:noWrap/>
            <w:vAlign w:val="bottom"/>
            <w:hideMark/>
          </w:tcPr>
          <w:p w14:paraId="180F69B1" w14:textId="77777777" w:rsidR="000251CF" w:rsidRPr="000251CF" w:rsidRDefault="000251CF" w:rsidP="000251CF">
            <w:pPr>
              <w:spacing w:before="0" w:after="0" w:line="240" w:lineRule="auto"/>
              <w:jc w:val="right"/>
              <w:rPr>
                <w:rFonts w:ascii="Tahoma" w:eastAsia="Times New Roman" w:hAnsi="Tahoma" w:cs="Tahoma"/>
                <w:sz w:val="16"/>
                <w:szCs w:val="16"/>
                <w:lang w:eastAsia="en-AU"/>
              </w:rPr>
            </w:pPr>
            <w:r w:rsidRPr="000251CF">
              <w:rPr>
                <w:rFonts w:ascii="Tahoma" w:eastAsia="Times New Roman" w:hAnsi="Tahoma" w:cs="Tahoma"/>
                <w:sz w:val="16"/>
                <w:szCs w:val="16"/>
                <w:lang w:eastAsia="en-AU"/>
              </w:rPr>
              <w:t>26,100</w:t>
            </w:r>
          </w:p>
        </w:tc>
        <w:tc>
          <w:tcPr>
            <w:tcW w:w="1417" w:type="dxa"/>
            <w:tcBorders>
              <w:top w:val="single" w:sz="6" w:space="0" w:color="auto"/>
              <w:left w:val="nil"/>
              <w:bottom w:val="nil"/>
              <w:right w:val="nil"/>
            </w:tcBorders>
            <w:shd w:val="clear" w:color="auto" w:fill="auto"/>
            <w:noWrap/>
            <w:vAlign w:val="bottom"/>
            <w:hideMark/>
          </w:tcPr>
          <w:p w14:paraId="2256758F" w14:textId="77777777" w:rsidR="000251CF" w:rsidRPr="000251CF" w:rsidRDefault="000251CF" w:rsidP="000251CF">
            <w:pPr>
              <w:spacing w:before="0" w:after="0" w:line="240" w:lineRule="auto"/>
              <w:jc w:val="right"/>
              <w:rPr>
                <w:rFonts w:ascii="Tahoma" w:eastAsia="Times New Roman" w:hAnsi="Tahoma" w:cs="Tahoma"/>
                <w:sz w:val="16"/>
                <w:szCs w:val="16"/>
                <w:lang w:eastAsia="en-AU"/>
              </w:rPr>
            </w:pPr>
            <w:r w:rsidRPr="000251CF">
              <w:rPr>
                <w:rFonts w:ascii="Tahoma" w:eastAsia="Times New Roman" w:hAnsi="Tahoma" w:cs="Tahoma"/>
                <w:sz w:val="16"/>
                <w:szCs w:val="16"/>
                <w:lang w:eastAsia="en-AU"/>
              </w:rPr>
              <w:t>26,100</w:t>
            </w:r>
          </w:p>
        </w:tc>
      </w:tr>
      <w:tr w:rsidR="000251CF" w:rsidRPr="000251CF" w14:paraId="60D4359E" w14:textId="77777777" w:rsidTr="0088213C">
        <w:trPr>
          <w:trHeight w:val="255"/>
        </w:trPr>
        <w:tc>
          <w:tcPr>
            <w:tcW w:w="2840" w:type="dxa"/>
            <w:tcBorders>
              <w:top w:val="nil"/>
              <w:left w:val="nil"/>
              <w:bottom w:val="nil"/>
              <w:right w:val="nil"/>
            </w:tcBorders>
            <w:shd w:val="clear" w:color="auto" w:fill="auto"/>
            <w:noWrap/>
            <w:vAlign w:val="bottom"/>
            <w:hideMark/>
          </w:tcPr>
          <w:p w14:paraId="1CB4A0E2" w14:textId="77777777" w:rsidR="000251CF" w:rsidRPr="000251CF" w:rsidRDefault="000251CF" w:rsidP="000251CF">
            <w:pPr>
              <w:spacing w:before="0" w:after="0" w:line="240" w:lineRule="auto"/>
              <w:rPr>
                <w:rFonts w:ascii="Tahoma" w:eastAsia="Times New Roman" w:hAnsi="Tahoma" w:cs="Tahoma"/>
                <w:sz w:val="16"/>
                <w:szCs w:val="16"/>
                <w:lang w:eastAsia="en-AU"/>
              </w:rPr>
            </w:pPr>
            <w:r w:rsidRPr="000251CF">
              <w:rPr>
                <w:rFonts w:ascii="Tahoma" w:eastAsia="Times New Roman" w:hAnsi="Tahoma" w:cs="Tahoma"/>
                <w:sz w:val="16"/>
                <w:szCs w:val="16"/>
                <w:lang w:eastAsia="en-AU"/>
              </w:rPr>
              <w:t>Insurance Premiums</w:t>
            </w:r>
          </w:p>
        </w:tc>
        <w:tc>
          <w:tcPr>
            <w:tcW w:w="421" w:type="dxa"/>
            <w:tcBorders>
              <w:top w:val="nil"/>
              <w:left w:val="nil"/>
              <w:bottom w:val="nil"/>
              <w:right w:val="nil"/>
            </w:tcBorders>
            <w:shd w:val="clear" w:color="auto" w:fill="auto"/>
            <w:noWrap/>
            <w:vAlign w:val="bottom"/>
            <w:hideMark/>
          </w:tcPr>
          <w:p w14:paraId="588CCB20"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984" w:type="dxa"/>
            <w:tcBorders>
              <w:top w:val="nil"/>
              <w:left w:val="nil"/>
              <w:bottom w:val="nil"/>
              <w:right w:val="nil"/>
            </w:tcBorders>
            <w:shd w:val="clear" w:color="auto" w:fill="auto"/>
            <w:noWrap/>
            <w:vAlign w:val="bottom"/>
            <w:hideMark/>
          </w:tcPr>
          <w:p w14:paraId="2C598057"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992" w:type="dxa"/>
            <w:tcBorders>
              <w:top w:val="nil"/>
              <w:left w:val="nil"/>
              <w:bottom w:val="nil"/>
              <w:right w:val="nil"/>
            </w:tcBorders>
            <w:shd w:val="clear" w:color="auto" w:fill="auto"/>
            <w:noWrap/>
            <w:hideMark/>
          </w:tcPr>
          <w:p w14:paraId="009D4ACC"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418" w:type="dxa"/>
            <w:tcBorders>
              <w:top w:val="nil"/>
              <w:left w:val="nil"/>
              <w:bottom w:val="nil"/>
              <w:right w:val="nil"/>
            </w:tcBorders>
            <w:shd w:val="clear" w:color="auto" w:fill="auto"/>
            <w:noWrap/>
            <w:vAlign w:val="bottom"/>
            <w:hideMark/>
          </w:tcPr>
          <w:p w14:paraId="2D4B28A3" w14:textId="77777777" w:rsidR="000251CF" w:rsidRPr="000251CF" w:rsidRDefault="000251CF" w:rsidP="000251CF">
            <w:pPr>
              <w:spacing w:before="0" w:after="0" w:line="240" w:lineRule="auto"/>
              <w:jc w:val="right"/>
              <w:rPr>
                <w:rFonts w:ascii="Tahoma" w:eastAsia="Times New Roman" w:hAnsi="Tahoma" w:cs="Tahoma"/>
                <w:sz w:val="16"/>
                <w:szCs w:val="16"/>
                <w:lang w:eastAsia="en-AU"/>
              </w:rPr>
            </w:pPr>
            <w:r w:rsidRPr="000251CF">
              <w:rPr>
                <w:rFonts w:ascii="Tahoma" w:eastAsia="Times New Roman" w:hAnsi="Tahoma" w:cs="Tahoma"/>
                <w:sz w:val="16"/>
                <w:szCs w:val="16"/>
                <w:lang w:eastAsia="en-AU"/>
              </w:rPr>
              <w:t>15,930</w:t>
            </w:r>
          </w:p>
        </w:tc>
        <w:tc>
          <w:tcPr>
            <w:tcW w:w="1417" w:type="dxa"/>
            <w:tcBorders>
              <w:top w:val="nil"/>
              <w:left w:val="nil"/>
              <w:bottom w:val="nil"/>
              <w:right w:val="nil"/>
            </w:tcBorders>
            <w:shd w:val="clear" w:color="auto" w:fill="auto"/>
            <w:noWrap/>
            <w:vAlign w:val="bottom"/>
            <w:hideMark/>
          </w:tcPr>
          <w:p w14:paraId="3762B55B" w14:textId="77777777" w:rsidR="000251CF" w:rsidRPr="000251CF" w:rsidRDefault="000251CF" w:rsidP="000251CF">
            <w:pPr>
              <w:spacing w:before="0" w:after="0" w:line="240" w:lineRule="auto"/>
              <w:jc w:val="right"/>
              <w:rPr>
                <w:rFonts w:ascii="Tahoma" w:eastAsia="Times New Roman" w:hAnsi="Tahoma" w:cs="Tahoma"/>
                <w:sz w:val="16"/>
                <w:szCs w:val="16"/>
                <w:lang w:eastAsia="en-AU"/>
              </w:rPr>
            </w:pPr>
            <w:r w:rsidRPr="000251CF">
              <w:rPr>
                <w:rFonts w:ascii="Tahoma" w:eastAsia="Times New Roman" w:hAnsi="Tahoma" w:cs="Tahoma"/>
                <w:sz w:val="16"/>
                <w:szCs w:val="16"/>
                <w:lang w:eastAsia="en-AU"/>
              </w:rPr>
              <w:t>16,734</w:t>
            </w:r>
          </w:p>
        </w:tc>
      </w:tr>
      <w:tr w:rsidR="000251CF" w:rsidRPr="000251CF" w14:paraId="2AB97759" w14:textId="77777777" w:rsidTr="0088213C">
        <w:trPr>
          <w:trHeight w:val="240"/>
        </w:trPr>
        <w:tc>
          <w:tcPr>
            <w:tcW w:w="2840" w:type="dxa"/>
            <w:tcBorders>
              <w:top w:val="nil"/>
              <w:left w:val="nil"/>
              <w:bottom w:val="nil"/>
              <w:right w:val="nil"/>
            </w:tcBorders>
            <w:shd w:val="clear" w:color="auto" w:fill="auto"/>
            <w:vAlign w:val="bottom"/>
            <w:hideMark/>
          </w:tcPr>
          <w:p w14:paraId="4819D08E" w14:textId="77777777" w:rsidR="000251CF" w:rsidRPr="000251CF" w:rsidRDefault="000251CF" w:rsidP="000251CF">
            <w:pPr>
              <w:spacing w:before="0" w:after="0" w:line="240" w:lineRule="auto"/>
              <w:jc w:val="both"/>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Total</w:t>
            </w:r>
          </w:p>
        </w:tc>
        <w:tc>
          <w:tcPr>
            <w:tcW w:w="421" w:type="dxa"/>
            <w:tcBorders>
              <w:top w:val="nil"/>
              <w:left w:val="nil"/>
              <w:bottom w:val="nil"/>
              <w:right w:val="nil"/>
            </w:tcBorders>
            <w:shd w:val="clear" w:color="auto" w:fill="auto"/>
            <w:vAlign w:val="bottom"/>
            <w:hideMark/>
          </w:tcPr>
          <w:p w14:paraId="2162AF7B" w14:textId="77777777" w:rsidR="000251CF" w:rsidRPr="000251CF" w:rsidRDefault="000251CF" w:rsidP="000251CF">
            <w:pPr>
              <w:spacing w:before="0" w:after="0" w:line="240" w:lineRule="auto"/>
              <w:jc w:val="both"/>
              <w:rPr>
                <w:rFonts w:ascii="Tahoma" w:eastAsia="Times New Roman" w:hAnsi="Tahoma" w:cs="Tahoma"/>
                <w:b/>
                <w:bCs/>
                <w:sz w:val="16"/>
                <w:szCs w:val="16"/>
                <w:lang w:eastAsia="en-AU"/>
              </w:rPr>
            </w:pPr>
          </w:p>
        </w:tc>
        <w:tc>
          <w:tcPr>
            <w:tcW w:w="1984" w:type="dxa"/>
            <w:tcBorders>
              <w:top w:val="nil"/>
              <w:left w:val="nil"/>
              <w:bottom w:val="nil"/>
              <w:right w:val="nil"/>
            </w:tcBorders>
            <w:shd w:val="clear" w:color="auto" w:fill="auto"/>
            <w:vAlign w:val="bottom"/>
            <w:hideMark/>
          </w:tcPr>
          <w:p w14:paraId="61F2B7A1" w14:textId="77777777" w:rsidR="000251CF" w:rsidRPr="000251CF" w:rsidRDefault="000251CF" w:rsidP="000251CF">
            <w:pPr>
              <w:spacing w:before="0" w:after="0" w:line="240" w:lineRule="auto"/>
              <w:jc w:val="both"/>
              <w:rPr>
                <w:rFonts w:ascii="Tahoma" w:eastAsia="Times New Roman" w:hAnsi="Tahoma" w:cs="Tahoma"/>
                <w:sz w:val="16"/>
                <w:szCs w:val="16"/>
                <w:lang w:eastAsia="en-AU"/>
              </w:rPr>
            </w:pPr>
          </w:p>
        </w:tc>
        <w:tc>
          <w:tcPr>
            <w:tcW w:w="992" w:type="dxa"/>
            <w:tcBorders>
              <w:top w:val="nil"/>
              <w:left w:val="nil"/>
              <w:bottom w:val="nil"/>
              <w:right w:val="nil"/>
            </w:tcBorders>
            <w:shd w:val="clear" w:color="auto" w:fill="auto"/>
            <w:noWrap/>
            <w:vAlign w:val="bottom"/>
            <w:hideMark/>
          </w:tcPr>
          <w:p w14:paraId="377B934D" w14:textId="77777777" w:rsidR="000251CF" w:rsidRPr="000251CF" w:rsidRDefault="000251CF" w:rsidP="000251CF">
            <w:pPr>
              <w:spacing w:before="0" w:after="0" w:line="240" w:lineRule="auto"/>
              <w:rPr>
                <w:rFonts w:ascii="Tahoma" w:eastAsia="Times New Roman" w:hAnsi="Tahoma" w:cs="Tahoma"/>
                <w:sz w:val="16"/>
                <w:szCs w:val="16"/>
                <w:lang w:eastAsia="en-AU"/>
              </w:rPr>
            </w:pPr>
          </w:p>
        </w:tc>
        <w:tc>
          <w:tcPr>
            <w:tcW w:w="1418" w:type="dxa"/>
            <w:tcBorders>
              <w:top w:val="nil"/>
              <w:left w:val="nil"/>
              <w:bottom w:val="nil"/>
              <w:right w:val="nil"/>
            </w:tcBorders>
            <w:shd w:val="clear" w:color="auto" w:fill="auto"/>
            <w:noWrap/>
            <w:vAlign w:val="bottom"/>
            <w:hideMark/>
          </w:tcPr>
          <w:p w14:paraId="1ACEB576"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42,030</w:t>
            </w:r>
          </w:p>
        </w:tc>
        <w:tc>
          <w:tcPr>
            <w:tcW w:w="1417" w:type="dxa"/>
            <w:tcBorders>
              <w:top w:val="nil"/>
              <w:left w:val="nil"/>
              <w:bottom w:val="nil"/>
              <w:right w:val="nil"/>
            </w:tcBorders>
            <w:shd w:val="clear" w:color="auto" w:fill="auto"/>
            <w:noWrap/>
            <w:vAlign w:val="bottom"/>
            <w:hideMark/>
          </w:tcPr>
          <w:p w14:paraId="07142419" w14:textId="77777777" w:rsidR="000251CF" w:rsidRPr="000251CF" w:rsidRDefault="000251CF" w:rsidP="000251CF">
            <w:pPr>
              <w:spacing w:before="0" w:after="0" w:line="240" w:lineRule="auto"/>
              <w:jc w:val="right"/>
              <w:rPr>
                <w:rFonts w:ascii="Tahoma" w:eastAsia="Times New Roman" w:hAnsi="Tahoma" w:cs="Tahoma"/>
                <w:b/>
                <w:bCs/>
                <w:sz w:val="16"/>
                <w:szCs w:val="16"/>
                <w:lang w:eastAsia="en-AU"/>
              </w:rPr>
            </w:pPr>
            <w:r w:rsidRPr="000251CF">
              <w:rPr>
                <w:rFonts w:ascii="Tahoma" w:eastAsia="Times New Roman" w:hAnsi="Tahoma" w:cs="Tahoma"/>
                <w:b/>
                <w:bCs/>
                <w:sz w:val="16"/>
                <w:szCs w:val="16"/>
                <w:lang w:eastAsia="en-AU"/>
              </w:rPr>
              <w:t>42,834</w:t>
            </w:r>
          </w:p>
        </w:tc>
      </w:tr>
    </w:tbl>
    <w:p w14:paraId="282467E0" w14:textId="77777777" w:rsidR="000251CF" w:rsidRPr="000251CF" w:rsidRDefault="000251CF" w:rsidP="000251CF">
      <w:pPr>
        <w:spacing w:before="0" w:after="120" w:line="264" w:lineRule="auto"/>
        <w:rPr>
          <w:rFonts w:ascii="Calibri" w:eastAsia="Times New Roman" w:hAnsi="Calibri" w:cs="Times New Roman"/>
          <w:szCs w:val="20"/>
        </w:rPr>
      </w:pPr>
      <w:r w:rsidRPr="000251CF">
        <w:rPr>
          <w:rFonts w:ascii="Calibri" w:eastAsia="Times New Roman" w:hAnsi="Calibri" w:cs="Times New Roman"/>
          <w:szCs w:val="20"/>
        </w:rPr>
        <w:t>*There are no non-audit services included in this amount.</w:t>
      </w:r>
    </w:p>
    <w:p w14:paraId="17B1CE59"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Total audit fees quoted by the Queensland Audit Office relating to the 2020–21 financial statements are $26,100 (2020: $26,100).</w:t>
      </w:r>
    </w:p>
    <w:p w14:paraId="1B45FB3C" w14:textId="77777777" w:rsidR="000251CF" w:rsidRPr="000251CF" w:rsidRDefault="000251CF" w:rsidP="000251CF">
      <w:pPr>
        <w:spacing w:before="120" w:after="0" w:line="264" w:lineRule="auto"/>
        <w:rPr>
          <w:rFonts w:ascii="Calibri" w:eastAsia="Times New Roman" w:hAnsi="Calibri" w:cs="Times New Roman"/>
          <w:b/>
          <w:szCs w:val="20"/>
        </w:rPr>
      </w:pPr>
      <w:r w:rsidRPr="000251CF">
        <w:rPr>
          <w:rFonts w:ascii="Calibri" w:eastAsia="Times New Roman" w:hAnsi="Calibri" w:cs="Times New Roman"/>
          <w:b/>
          <w:szCs w:val="20"/>
        </w:rPr>
        <w:t>Note 11:</w:t>
      </w:r>
    </w:p>
    <w:tbl>
      <w:tblPr>
        <w:tblW w:w="9102" w:type="dxa"/>
        <w:tblInd w:w="-30" w:type="dxa"/>
        <w:tblLayout w:type="fixed"/>
        <w:tblLook w:val="0000" w:firstRow="0" w:lastRow="0" w:firstColumn="0" w:lastColumn="0" w:noHBand="0" w:noVBand="0"/>
      </w:tblPr>
      <w:tblGrid>
        <w:gridCol w:w="1819"/>
        <w:gridCol w:w="1046"/>
        <w:gridCol w:w="1560"/>
        <w:gridCol w:w="850"/>
        <w:gridCol w:w="982"/>
        <w:gridCol w:w="1428"/>
        <w:gridCol w:w="1417"/>
      </w:tblGrid>
      <w:tr w:rsidR="000251CF" w:rsidRPr="000251CF" w14:paraId="05A5A43F" w14:textId="77777777" w:rsidTr="0088213C">
        <w:trPr>
          <w:trHeight w:val="142"/>
        </w:trPr>
        <w:tc>
          <w:tcPr>
            <w:tcW w:w="2865" w:type="dxa"/>
            <w:gridSpan w:val="2"/>
            <w:tcBorders>
              <w:top w:val="nil"/>
              <w:left w:val="nil"/>
              <w:right w:val="nil"/>
            </w:tcBorders>
          </w:tcPr>
          <w:p w14:paraId="66C3EA89"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Cash and Cash Equivalents</w:t>
            </w:r>
          </w:p>
        </w:tc>
        <w:tc>
          <w:tcPr>
            <w:tcW w:w="1560" w:type="dxa"/>
            <w:tcBorders>
              <w:top w:val="nil"/>
              <w:left w:val="nil"/>
              <w:right w:val="nil"/>
            </w:tcBorders>
          </w:tcPr>
          <w:p w14:paraId="05097D6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right w:val="nil"/>
            </w:tcBorders>
          </w:tcPr>
          <w:p w14:paraId="581BFC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right w:val="nil"/>
            </w:tcBorders>
          </w:tcPr>
          <w:p w14:paraId="44C038B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428" w:type="dxa"/>
            <w:tcBorders>
              <w:top w:val="nil"/>
              <w:left w:val="nil"/>
              <w:right w:val="nil"/>
            </w:tcBorders>
            <w:shd w:val="solid" w:color="C0C0C0" w:fill="auto"/>
          </w:tcPr>
          <w:p w14:paraId="1D4DD3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417" w:type="dxa"/>
            <w:tcBorders>
              <w:top w:val="nil"/>
              <w:left w:val="nil"/>
              <w:right w:val="nil"/>
            </w:tcBorders>
            <w:shd w:val="solid" w:color="C0C0C0" w:fill="auto"/>
          </w:tcPr>
          <w:p w14:paraId="4DB3CBF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60693ECD" w14:textId="77777777" w:rsidTr="0088213C">
        <w:trPr>
          <w:trHeight w:val="151"/>
        </w:trPr>
        <w:tc>
          <w:tcPr>
            <w:tcW w:w="1819" w:type="dxa"/>
            <w:tcBorders>
              <w:top w:val="nil"/>
              <w:left w:val="nil"/>
              <w:bottom w:val="single" w:sz="6" w:space="0" w:color="auto"/>
              <w:right w:val="nil"/>
            </w:tcBorders>
          </w:tcPr>
          <w:p w14:paraId="3E9AB79D"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046" w:type="dxa"/>
            <w:tcBorders>
              <w:top w:val="nil"/>
              <w:left w:val="nil"/>
              <w:bottom w:val="single" w:sz="6" w:space="0" w:color="auto"/>
              <w:right w:val="nil"/>
            </w:tcBorders>
          </w:tcPr>
          <w:p w14:paraId="5082DAC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60" w:type="dxa"/>
            <w:tcBorders>
              <w:top w:val="nil"/>
              <w:left w:val="nil"/>
              <w:bottom w:val="single" w:sz="6" w:space="0" w:color="auto"/>
              <w:right w:val="nil"/>
            </w:tcBorders>
          </w:tcPr>
          <w:p w14:paraId="470ED3F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single" w:sz="6" w:space="0" w:color="auto"/>
              <w:right w:val="nil"/>
            </w:tcBorders>
          </w:tcPr>
          <w:p w14:paraId="1EE75B6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single" w:sz="6" w:space="0" w:color="auto"/>
              <w:right w:val="nil"/>
            </w:tcBorders>
          </w:tcPr>
          <w:p w14:paraId="2CA9D3E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428" w:type="dxa"/>
            <w:tcBorders>
              <w:top w:val="nil"/>
              <w:left w:val="nil"/>
              <w:bottom w:val="single" w:sz="6" w:space="0" w:color="auto"/>
              <w:right w:val="nil"/>
            </w:tcBorders>
            <w:shd w:val="solid" w:color="C0C0C0" w:fill="auto"/>
          </w:tcPr>
          <w:p w14:paraId="0A34520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417" w:type="dxa"/>
            <w:tcBorders>
              <w:top w:val="nil"/>
              <w:left w:val="nil"/>
              <w:bottom w:val="single" w:sz="6" w:space="0" w:color="auto"/>
              <w:right w:val="nil"/>
            </w:tcBorders>
            <w:shd w:val="solid" w:color="C0C0C0" w:fill="auto"/>
          </w:tcPr>
          <w:p w14:paraId="143C17C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6AD44E7B" w14:textId="77777777" w:rsidTr="0088213C">
        <w:trPr>
          <w:trHeight w:val="158"/>
        </w:trPr>
        <w:tc>
          <w:tcPr>
            <w:tcW w:w="1819" w:type="dxa"/>
            <w:tcBorders>
              <w:top w:val="single" w:sz="6" w:space="0" w:color="auto"/>
              <w:left w:val="nil"/>
              <w:bottom w:val="nil"/>
              <w:right w:val="nil"/>
            </w:tcBorders>
          </w:tcPr>
          <w:p w14:paraId="409B34E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Cash at Bank</w:t>
            </w:r>
          </w:p>
        </w:tc>
        <w:tc>
          <w:tcPr>
            <w:tcW w:w="1046" w:type="dxa"/>
            <w:tcBorders>
              <w:top w:val="single" w:sz="6" w:space="0" w:color="auto"/>
              <w:left w:val="nil"/>
              <w:bottom w:val="nil"/>
              <w:right w:val="nil"/>
            </w:tcBorders>
          </w:tcPr>
          <w:p w14:paraId="1D4A955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560" w:type="dxa"/>
            <w:tcBorders>
              <w:top w:val="single" w:sz="6" w:space="0" w:color="auto"/>
              <w:left w:val="nil"/>
              <w:bottom w:val="nil"/>
              <w:right w:val="nil"/>
            </w:tcBorders>
          </w:tcPr>
          <w:p w14:paraId="514FB5E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850" w:type="dxa"/>
            <w:tcBorders>
              <w:top w:val="single" w:sz="6" w:space="0" w:color="auto"/>
              <w:left w:val="nil"/>
              <w:bottom w:val="nil"/>
              <w:right w:val="nil"/>
            </w:tcBorders>
          </w:tcPr>
          <w:p w14:paraId="7A02E29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982" w:type="dxa"/>
            <w:tcBorders>
              <w:top w:val="single" w:sz="6" w:space="0" w:color="auto"/>
              <w:left w:val="nil"/>
              <w:bottom w:val="nil"/>
              <w:right w:val="nil"/>
            </w:tcBorders>
          </w:tcPr>
          <w:p w14:paraId="5BBCB6F7"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428" w:type="dxa"/>
            <w:tcBorders>
              <w:top w:val="single" w:sz="6" w:space="0" w:color="auto"/>
              <w:left w:val="nil"/>
              <w:bottom w:val="nil"/>
              <w:right w:val="nil"/>
            </w:tcBorders>
          </w:tcPr>
          <w:p w14:paraId="71C40D6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1,492,113</w:t>
            </w:r>
          </w:p>
        </w:tc>
        <w:tc>
          <w:tcPr>
            <w:tcW w:w="1417" w:type="dxa"/>
            <w:tcBorders>
              <w:top w:val="single" w:sz="6" w:space="0" w:color="auto"/>
              <w:left w:val="nil"/>
              <w:bottom w:val="nil"/>
              <w:right w:val="nil"/>
            </w:tcBorders>
          </w:tcPr>
          <w:p w14:paraId="094302E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3,379,822</w:t>
            </w:r>
          </w:p>
        </w:tc>
      </w:tr>
      <w:tr w:rsidR="000251CF" w:rsidRPr="000251CF" w14:paraId="04BAB9F9" w14:textId="77777777" w:rsidTr="0088213C">
        <w:trPr>
          <w:trHeight w:val="158"/>
        </w:trPr>
        <w:tc>
          <w:tcPr>
            <w:tcW w:w="1819" w:type="dxa"/>
            <w:tcBorders>
              <w:top w:val="nil"/>
              <w:left w:val="nil"/>
              <w:bottom w:val="nil"/>
              <w:right w:val="nil"/>
            </w:tcBorders>
          </w:tcPr>
          <w:p w14:paraId="6DD3C5B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Cash on Hand</w:t>
            </w:r>
          </w:p>
        </w:tc>
        <w:tc>
          <w:tcPr>
            <w:tcW w:w="1046" w:type="dxa"/>
            <w:tcBorders>
              <w:top w:val="nil"/>
              <w:left w:val="nil"/>
              <w:bottom w:val="nil"/>
              <w:right w:val="nil"/>
            </w:tcBorders>
          </w:tcPr>
          <w:p w14:paraId="7054A8D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560" w:type="dxa"/>
            <w:tcBorders>
              <w:top w:val="nil"/>
              <w:left w:val="nil"/>
              <w:bottom w:val="nil"/>
              <w:right w:val="nil"/>
            </w:tcBorders>
          </w:tcPr>
          <w:p w14:paraId="7ADF06B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850" w:type="dxa"/>
            <w:tcBorders>
              <w:top w:val="nil"/>
              <w:left w:val="nil"/>
              <w:bottom w:val="nil"/>
              <w:right w:val="nil"/>
            </w:tcBorders>
          </w:tcPr>
          <w:p w14:paraId="591191F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982" w:type="dxa"/>
            <w:tcBorders>
              <w:top w:val="nil"/>
              <w:left w:val="nil"/>
              <w:bottom w:val="nil"/>
              <w:right w:val="nil"/>
            </w:tcBorders>
          </w:tcPr>
          <w:p w14:paraId="121A8C53"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428" w:type="dxa"/>
            <w:tcBorders>
              <w:top w:val="nil"/>
              <w:left w:val="nil"/>
              <w:bottom w:val="nil"/>
              <w:right w:val="nil"/>
            </w:tcBorders>
          </w:tcPr>
          <w:p w14:paraId="1F8617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500</w:t>
            </w:r>
          </w:p>
        </w:tc>
        <w:tc>
          <w:tcPr>
            <w:tcW w:w="1417" w:type="dxa"/>
            <w:tcBorders>
              <w:top w:val="nil"/>
              <w:left w:val="nil"/>
              <w:bottom w:val="nil"/>
              <w:right w:val="nil"/>
            </w:tcBorders>
          </w:tcPr>
          <w:p w14:paraId="764D0B6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500</w:t>
            </w:r>
          </w:p>
        </w:tc>
      </w:tr>
      <w:tr w:rsidR="000251CF" w:rsidRPr="000251CF" w14:paraId="49DC6ADC" w14:textId="77777777" w:rsidTr="0088213C">
        <w:trPr>
          <w:trHeight w:val="158"/>
        </w:trPr>
        <w:tc>
          <w:tcPr>
            <w:tcW w:w="1819" w:type="dxa"/>
            <w:tcBorders>
              <w:top w:val="nil"/>
              <w:left w:val="nil"/>
              <w:bottom w:val="nil"/>
              <w:right w:val="nil"/>
            </w:tcBorders>
          </w:tcPr>
          <w:p w14:paraId="0A7D333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Cash in QTC Cash Fund</w:t>
            </w:r>
          </w:p>
        </w:tc>
        <w:tc>
          <w:tcPr>
            <w:tcW w:w="1046" w:type="dxa"/>
            <w:tcBorders>
              <w:top w:val="nil"/>
              <w:left w:val="nil"/>
              <w:bottom w:val="nil"/>
              <w:right w:val="nil"/>
            </w:tcBorders>
          </w:tcPr>
          <w:p w14:paraId="0023845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560" w:type="dxa"/>
            <w:tcBorders>
              <w:top w:val="nil"/>
              <w:left w:val="nil"/>
              <w:bottom w:val="nil"/>
              <w:right w:val="nil"/>
            </w:tcBorders>
          </w:tcPr>
          <w:p w14:paraId="6D9843D5"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850" w:type="dxa"/>
            <w:tcBorders>
              <w:top w:val="nil"/>
              <w:left w:val="nil"/>
              <w:bottom w:val="nil"/>
              <w:right w:val="nil"/>
            </w:tcBorders>
          </w:tcPr>
          <w:p w14:paraId="056F40D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982" w:type="dxa"/>
            <w:tcBorders>
              <w:top w:val="nil"/>
              <w:left w:val="nil"/>
              <w:bottom w:val="nil"/>
              <w:right w:val="nil"/>
            </w:tcBorders>
          </w:tcPr>
          <w:p w14:paraId="1818112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428" w:type="dxa"/>
            <w:tcBorders>
              <w:top w:val="nil"/>
              <w:left w:val="nil"/>
              <w:bottom w:val="nil"/>
              <w:right w:val="nil"/>
            </w:tcBorders>
          </w:tcPr>
          <w:p w14:paraId="6E57388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7,585,419</w:t>
            </w:r>
          </w:p>
        </w:tc>
        <w:tc>
          <w:tcPr>
            <w:tcW w:w="1417" w:type="dxa"/>
            <w:tcBorders>
              <w:top w:val="nil"/>
              <w:left w:val="nil"/>
              <w:bottom w:val="nil"/>
              <w:right w:val="nil"/>
            </w:tcBorders>
          </w:tcPr>
          <w:p w14:paraId="232126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8,531,305</w:t>
            </w:r>
          </w:p>
        </w:tc>
      </w:tr>
      <w:tr w:rsidR="000251CF" w:rsidRPr="000251CF" w14:paraId="003108CC" w14:textId="77777777" w:rsidTr="0088213C">
        <w:trPr>
          <w:trHeight w:val="158"/>
        </w:trPr>
        <w:tc>
          <w:tcPr>
            <w:tcW w:w="1819" w:type="dxa"/>
            <w:tcBorders>
              <w:top w:val="nil"/>
              <w:left w:val="nil"/>
              <w:bottom w:val="nil"/>
              <w:right w:val="nil"/>
            </w:tcBorders>
          </w:tcPr>
          <w:p w14:paraId="27FC68D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1046" w:type="dxa"/>
            <w:tcBorders>
              <w:top w:val="nil"/>
              <w:left w:val="nil"/>
              <w:bottom w:val="nil"/>
              <w:right w:val="nil"/>
            </w:tcBorders>
          </w:tcPr>
          <w:p w14:paraId="194DED2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60" w:type="dxa"/>
            <w:tcBorders>
              <w:top w:val="nil"/>
              <w:left w:val="nil"/>
              <w:bottom w:val="nil"/>
              <w:right w:val="nil"/>
            </w:tcBorders>
          </w:tcPr>
          <w:p w14:paraId="5D90834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0C083F6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33748C96"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428" w:type="dxa"/>
            <w:tcBorders>
              <w:top w:val="nil"/>
              <w:left w:val="nil"/>
              <w:bottom w:val="nil"/>
              <w:right w:val="nil"/>
            </w:tcBorders>
          </w:tcPr>
          <w:p w14:paraId="1942253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9,078,032</w:t>
            </w:r>
          </w:p>
        </w:tc>
        <w:tc>
          <w:tcPr>
            <w:tcW w:w="1417" w:type="dxa"/>
            <w:tcBorders>
              <w:top w:val="nil"/>
              <w:left w:val="nil"/>
              <w:bottom w:val="nil"/>
              <w:right w:val="nil"/>
            </w:tcBorders>
          </w:tcPr>
          <w:p w14:paraId="199B91B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11,911,627</w:t>
            </w:r>
          </w:p>
        </w:tc>
      </w:tr>
    </w:tbl>
    <w:p w14:paraId="742B373F" w14:textId="77777777" w:rsidR="000251CF" w:rsidRPr="000251CF" w:rsidRDefault="000251CF" w:rsidP="000251CF">
      <w:pPr>
        <w:spacing w:before="120" w:after="0" w:line="240" w:lineRule="auto"/>
        <w:rPr>
          <w:rFonts w:ascii="Calibri" w:eastAsia="Times New Roman" w:hAnsi="Calibri" w:cs="Times New Roman"/>
          <w:b/>
          <w:szCs w:val="20"/>
        </w:rPr>
      </w:pPr>
      <w:r w:rsidRPr="000251CF">
        <w:rPr>
          <w:rFonts w:ascii="Calibri" w:eastAsia="Times New Roman" w:hAnsi="Calibri" w:cs="Times New Roman"/>
          <w:b/>
          <w:szCs w:val="20"/>
        </w:rPr>
        <w:t>Accounting Policy</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38F3747C" w14:textId="77777777" w:rsidR="000251CF" w:rsidRPr="000251CF" w:rsidRDefault="000251CF" w:rsidP="000251CF">
      <w:pPr>
        <w:spacing w:before="0" w:after="120" w:line="264" w:lineRule="auto"/>
        <w:rPr>
          <w:rFonts w:ascii="Calibri" w:eastAsia="Times New Roman" w:hAnsi="Calibri" w:cs="Times New Roman"/>
          <w:bCs/>
          <w:szCs w:val="20"/>
        </w:rPr>
      </w:pPr>
      <w:r w:rsidRPr="000251CF">
        <w:rPr>
          <w:rFonts w:ascii="Calibri" w:eastAsia="Times New Roman" w:hAnsi="Calibri" w:cs="Times New Roman"/>
          <w:bCs/>
          <w:szCs w:val="20"/>
        </w:rPr>
        <w:t>Cash assets include cash at bank, cash on hand and cash with Queensland Treasury Corporation (QTC).  All cash amounts are at call and can be redeemed in under one working day at their face value.  The QCA does not have any borrowing or overdraft facilities.</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6EC88000" w14:textId="77777777" w:rsidR="000251CF" w:rsidRPr="000251CF" w:rsidRDefault="000251CF" w:rsidP="000251CF">
      <w:pPr>
        <w:spacing w:before="0" w:after="0" w:line="264" w:lineRule="auto"/>
        <w:rPr>
          <w:rFonts w:ascii="Calibri" w:eastAsia="Times New Roman" w:hAnsi="Calibri" w:cs="Times New Roman"/>
          <w:b/>
          <w:szCs w:val="20"/>
        </w:rPr>
      </w:pPr>
      <w:r w:rsidRPr="000251CF">
        <w:rPr>
          <w:rFonts w:ascii="Calibri" w:eastAsia="Times New Roman" w:hAnsi="Calibri" w:cs="Times New Roman"/>
          <w:b/>
          <w:szCs w:val="20"/>
        </w:rPr>
        <w:t>Note 12:</w:t>
      </w:r>
    </w:p>
    <w:tbl>
      <w:tblPr>
        <w:tblW w:w="9102" w:type="dxa"/>
        <w:tblInd w:w="-30" w:type="dxa"/>
        <w:tblLayout w:type="fixed"/>
        <w:tblLook w:val="0000" w:firstRow="0" w:lastRow="0" w:firstColumn="0" w:lastColumn="0" w:noHBand="0" w:noVBand="0"/>
      </w:tblPr>
      <w:tblGrid>
        <w:gridCol w:w="2865"/>
        <w:gridCol w:w="1560"/>
        <w:gridCol w:w="850"/>
        <w:gridCol w:w="1087"/>
        <w:gridCol w:w="1323"/>
        <w:gridCol w:w="1417"/>
      </w:tblGrid>
      <w:tr w:rsidR="000251CF" w:rsidRPr="000251CF" w14:paraId="4F96944B" w14:textId="77777777" w:rsidTr="0088213C">
        <w:trPr>
          <w:trHeight w:val="142"/>
        </w:trPr>
        <w:tc>
          <w:tcPr>
            <w:tcW w:w="2865" w:type="dxa"/>
            <w:tcBorders>
              <w:top w:val="nil"/>
              <w:left w:val="nil"/>
              <w:right w:val="nil"/>
            </w:tcBorders>
          </w:tcPr>
          <w:p w14:paraId="1CE380BB"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Receivables</w:t>
            </w:r>
          </w:p>
        </w:tc>
        <w:tc>
          <w:tcPr>
            <w:tcW w:w="1560" w:type="dxa"/>
            <w:tcBorders>
              <w:top w:val="nil"/>
              <w:left w:val="nil"/>
              <w:right w:val="nil"/>
            </w:tcBorders>
          </w:tcPr>
          <w:p w14:paraId="5ECE3BC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right w:val="nil"/>
            </w:tcBorders>
          </w:tcPr>
          <w:p w14:paraId="28D93EA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right w:val="nil"/>
            </w:tcBorders>
          </w:tcPr>
          <w:p w14:paraId="314661D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right w:val="nil"/>
            </w:tcBorders>
            <w:shd w:val="solid" w:color="C0C0C0" w:fill="auto"/>
          </w:tcPr>
          <w:p w14:paraId="7423692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417" w:type="dxa"/>
            <w:tcBorders>
              <w:top w:val="nil"/>
              <w:left w:val="nil"/>
              <w:right w:val="nil"/>
            </w:tcBorders>
            <w:shd w:val="solid" w:color="C0C0C0" w:fill="auto"/>
          </w:tcPr>
          <w:p w14:paraId="0D85583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1F6387AE" w14:textId="77777777" w:rsidTr="0088213C">
        <w:trPr>
          <w:trHeight w:val="134"/>
        </w:trPr>
        <w:tc>
          <w:tcPr>
            <w:tcW w:w="2865" w:type="dxa"/>
            <w:tcBorders>
              <w:top w:val="nil"/>
              <w:left w:val="nil"/>
              <w:bottom w:val="single" w:sz="6" w:space="0" w:color="auto"/>
              <w:right w:val="nil"/>
            </w:tcBorders>
          </w:tcPr>
          <w:p w14:paraId="5EC3D850"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i/>
                <w:iCs/>
                <w:color w:val="000000"/>
                <w:sz w:val="18"/>
                <w:szCs w:val="18"/>
              </w:rPr>
            </w:pPr>
          </w:p>
        </w:tc>
        <w:tc>
          <w:tcPr>
            <w:tcW w:w="1560" w:type="dxa"/>
            <w:tcBorders>
              <w:top w:val="nil"/>
              <w:left w:val="nil"/>
              <w:bottom w:val="single" w:sz="6" w:space="0" w:color="auto"/>
              <w:right w:val="nil"/>
            </w:tcBorders>
          </w:tcPr>
          <w:p w14:paraId="1A4E517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single" w:sz="6" w:space="0" w:color="auto"/>
              <w:right w:val="nil"/>
            </w:tcBorders>
          </w:tcPr>
          <w:p w14:paraId="4997813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single" w:sz="6" w:space="0" w:color="auto"/>
              <w:right w:val="nil"/>
            </w:tcBorders>
          </w:tcPr>
          <w:p w14:paraId="54441B8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single" w:sz="6" w:space="0" w:color="auto"/>
              <w:right w:val="nil"/>
            </w:tcBorders>
            <w:shd w:val="solid" w:color="C0C0C0" w:fill="auto"/>
          </w:tcPr>
          <w:p w14:paraId="53E0E50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417" w:type="dxa"/>
            <w:tcBorders>
              <w:top w:val="nil"/>
              <w:left w:val="nil"/>
              <w:bottom w:val="single" w:sz="6" w:space="0" w:color="auto"/>
              <w:right w:val="nil"/>
            </w:tcBorders>
            <w:shd w:val="solid" w:color="C0C0C0" w:fill="auto"/>
          </w:tcPr>
          <w:p w14:paraId="75BE44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4A52C529" w14:textId="77777777" w:rsidTr="0088213C">
        <w:trPr>
          <w:trHeight w:val="142"/>
        </w:trPr>
        <w:tc>
          <w:tcPr>
            <w:tcW w:w="2865" w:type="dxa"/>
            <w:tcBorders>
              <w:top w:val="single" w:sz="6" w:space="0" w:color="auto"/>
              <w:left w:val="nil"/>
              <w:bottom w:val="nil"/>
              <w:right w:val="nil"/>
            </w:tcBorders>
          </w:tcPr>
          <w:p w14:paraId="4858F20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Trade Debtors</w:t>
            </w:r>
          </w:p>
        </w:tc>
        <w:tc>
          <w:tcPr>
            <w:tcW w:w="1560" w:type="dxa"/>
            <w:tcBorders>
              <w:top w:val="single" w:sz="6" w:space="0" w:color="auto"/>
              <w:left w:val="nil"/>
              <w:bottom w:val="nil"/>
              <w:right w:val="nil"/>
            </w:tcBorders>
          </w:tcPr>
          <w:p w14:paraId="174AE6B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single" w:sz="6" w:space="0" w:color="auto"/>
              <w:left w:val="nil"/>
              <w:bottom w:val="nil"/>
              <w:right w:val="nil"/>
            </w:tcBorders>
          </w:tcPr>
          <w:p w14:paraId="2F82D0D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single" w:sz="6" w:space="0" w:color="auto"/>
              <w:left w:val="nil"/>
              <w:bottom w:val="nil"/>
              <w:right w:val="nil"/>
            </w:tcBorders>
          </w:tcPr>
          <w:p w14:paraId="48922BA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single" w:sz="6" w:space="0" w:color="auto"/>
              <w:left w:val="nil"/>
              <w:bottom w:val="nil"/>
              <w:right w:val="nil"/>
            </w:tcBorders>
          </w:tcPr>
          <w:p w14:paraId="2AA0BEC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1,375</w:t>
            </w:r>
          </w:p>
        </w:tc>
        <w:tc>
          <w:tcPr>
            <w:tcW w:w="1417" w:type="dxa"/>
            <w:tcBorders>
              <w:top w:val="single" w:sz="6" w:space="0" w:color="auto"/>
              <w:left w:val="nil"/>
              <w:bottom w:val="nil"/>
              <w:right w:val="nil"/>
            </w:tcBorders>
          </w:tcPr>
          <w:p w14:paraId="73C43C8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48,278</w:t>
            </w:r>
          </w:p>
        </w:tc>
      </w:tr>
      <w:tr w:rsidR="000251CF" w:rsidRPr="000251CF" w14:paraId="278F308E" w14:textId="77777777" w:rsidTr="0088213C">
        <w:trPr>
          <w:trHeight w:val="142"/>
        </w:trPr>
        <w:tc>
          <w:tcPr>
            <w:tcW w:w="2865" w:type="dxa"/>
            <w:tcBorders>
              <w:top w:val="nil"/>
              <w:left w:val="nil"/>
              <w:bottom w:val="nil"/>
              <w:right w:val="nil"/>
            </w:tcBorders>
          </w:tcPr>
          <w:p w14:paraId="64627FB2"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Other Receivables</w:t>
            </w:r>
          </w:p>
        </w:tc>
        <w:tc>
          <w:tcPr>
            <w:tcW w:w="1560" w:type="dxa"/>
            <w:tcBorders>
              <w:top w:val="nil"/>
              <w:left w:val="nil"/>
              <w:bottom w:val="nil"/>
              <w:right w:val="nil"/>
            </w:tcBorders>
          </w:tcPr>
          <w:p w14:paraId="31C9CCA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25BCAEE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528DDE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27AC423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10,326</w:t>
            </w:r>
          </w:p>
        </w:tc>
        <w:tc>
          <w:tcPr>
            <w:tcW w:w="1417" w:type="dxa"/>
            <w:tcBorders>
              <w:top w:val="nil"/>
              <w:left w:val="nil"/>
              <w:bottom w:val="nil"/>
              <w:right w:val="nil"/>
            </w:tcBorders>
          </w:tcPr>
          <w:p w14:paraId="1675281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32,014</w:t>
            </w:r>
          </w:p>
        </w:tc>
      </w:tr>
      <w:tr w:rsidR="000251CF" w:rsidRPr="000251CF" w14:paraId="387CC373" w14:textId="77777777" w:rsidTr="0088213C">
        <w:trPr>
          <w:trHeight w:val="142"/>
        </w:trPr>
        <w:tc>
          <w:tcPr>
            <w:tcW w:w="2865" w:type="dxa"/>
            <w:tcBorders>
              <w:top w:val="nil"/>
              <w:left w:val="nil"/>
              <w:bottom w:val="nil"/>
              <w:right w:val="nil"/>
            </w:tcBorders>
          </w:tcPr>
          <w:p w14:paraId="3B466E4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Accrued Fee Income*</w:t>
            </w:r>
          </w:p>
        </w:tc>
        <w:tc>
          <w:tcPr>
            <w:tcW w:w="1560" w:type="dxa"/>
            <w:tcBorders>
              <w:top w:val="nil"/>
              <w:left w:val="nil"/>
              <w:bottom w:val="nil"/>
              <w:right w:val="nil"/>
            </w:tcBorders>
          </w:tcPr>
          <w:p w14:paraId="1801B0E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13ED35B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0E334BA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60E953A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1,778,628</w:t>
            </w:r>
          </w:p>
        </w:tc>
        <w:tc>
          <w:tcPr>
            <w:tcW w:w="1417" w:type="dxa"/>
            <w:tcBorders>
              <w:top w:val="nil"/>
              <w:left w:val="nil"/>
              <w:bottom w:val="nil"/>
              <w:right w:val="nil"/>
            </w:tcBorders>
          </w:tcPr>
          <w:p w14:paraId="723A0FC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798,627</w:t>
            </w:r>
          </w:p>
        </w:tc>
      </w:tr>
      <w:tr w:rsidR="000251CF" w:rsidRPr="000251CF" w14:paraId="4E028D8F" w14:textId="77777777" w:rsidTr="0088213C">
        <w:trPr>
          <w:trHeight w:val="142"/>
        </w:trPr>
        <w:tc>
          <w:tcPr>
            <w:tcW w:w="2865" w:type="dxa"/>
            <w:tcBorders>
              <w:top w:val="nil"/>
              <w:left w:val="nil"/>
              <w:bottom w:val="nil"/>
              <w:right w:val="nil"/>
            </w:tcBorders>
          </w:tcPr>
          <w:p w14:paraId="2562F16A"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Sub Total</w:t>
            </w:r>
          </w:p>
        </w:tc>
        <w:tc>
          <w:tcPr>
            <w:tcW w:w="1560" w:type="dxa"/>
            <w:tcBorders>
              <w:top w:val="nil"/>
              <w:left w:val="nil"/>
              <w:bottom w:val="nil"/>
              <w:right w:val="nil"/>
            </w:tcBorders>
          </w:tcPr>
          <w:p w14:paraId="5FD432C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6AAD73E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1B4557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4E40E54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1,790,329</w:t>
            </w:r>
          </w:p>
        </w:tc>
        <w:tc>
          <w:tcPr>
            <w:tcW w:w="1417" w:type="dxa"/>
            <w:tcBorders>
              <w:top w:val="nil"/>
              <w:left w:val="nil"/>
              <w:bottom w:val="nil"/>
              <w:right w:val="nil"/>
            </w:tcBorders>
          </w:tcPr>
          <w:p w14:paraId="2AA9C54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878,919</w:t>
            </w:r>
          </w:p>
        </w:tc>
      </w:tr>
      <w:tr w:rsidR="000251CF" w:rsidRPr="000251CF" w14:paraId="45A00C53" w14:textId="77777777" w:rsidTr="0088213C">
        <w:trPr>
          <w:trHeight w:val="142"/>
        </w:trPr>
        <w:tc>
          <w:tcPr>
            <w:tcW w:w="2865" w:type="dxa"/>
            <w:tcBorders>
              <w:top w:val="nil"/>
              <w:left w:val="nil"/>
              <w:bottom w:val="nil"/>
              <w:right w:val="nil"/>
            </w:tcBorders>
          </w:tcPr>
          <w:p w14:paraId="52FD937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i/>
                <w:iCs/>
                <w:color w:val="000000"/>
                <w:sz w:val="16"/>
                <w:szCs w:val="16"/>
              </w:rPr>
            </w:pPr>
          </w:p>
        </w:tc>
        <w:tc>
          <w:tcPr>
            <w:tcW w:w="1560" w:type="dxa"/>
            <w:tcBorders>
              <w:top w:val="nil"/>
              <w:left w:val="nil"/>
              <w:bottom w:val="nil"/>
              <w:right w:val="nil"/>
            </w:tcBorders>
          </w:tcPr>
          <w:p w14:paraId="650E56D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7226CC3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5576920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40CD349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417" w:type="dxa"/>
            <w:tcBorders>
              <w:top w:val="nil"/>
              <w:left w:val="nil"/>
              <w:bottom w:val="nil"/>
              <w:right w:val="nil"/>
            </w:tcBorders>
          </w:tcPr>
          <w:p w14:paraId="1B667B9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56373E0B" w14:textId="77777777" w:rsidTr="0088213C">
        <w:trPr>
          <w:trHeight w:val="142"/>
        </w:trPr>
        <w:tc>
          <w:tcPr>
            <w:tcW w:w="2865" w:type="dxa"/>
            <w:tcBorders>
              <w:top w:val="nil"/>
              <w:left w:val="nil"/>
              <w:bottom w:val="nil"/>
              <w:right w:val="nil"/>
            </w:tcBorders>
          </w:tcPr>
          <w:p w14:paraId="2805960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GST Receivable</w:t>
            </w:r>
          </w:p>
        </w:tc>
        <w:tc>
          <w:tcPr>
            <w:tcW w:w="1560" w:type="dxa"/>
            <w:tcBorders>
              <w:top w:val="nil"/>
              <w:left w:val="nil"/>
              <w:bottom w:val="nil"/>
              <w:right w:val="nil"/>
            </w:tcBorders>
          </w:tcPr>
          <w:p w14:paraId="79598E7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7BBC4C9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01D32E6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1DA6D38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47,984</w:t>
            </w:r>
          </w:p>
        </w:tc>
        <w:tc>
          <w:tcPr>
            <w:tcW w:w="1417" w:type="dxa"/>
            <w:tcBorders>
              <w:top w:val="nil"/>
              <w:left w:val="nil"/>
              <w:bottom w:val="nil"/>
              <w:right w:val="nil"/>
            </w:tcBorders>
          </w:tcPr>
          <w:p w14:paraId="240E5DF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54,313</w:t>
            </w:r>
          </w:p>
        </w:tc>
      </w:tr>
      <w:tr w:rsidR="000251CF" w:rsidRPr="000251CF" w14:paraId="3D7C99A7" w14:textId="77777777" w:rsidTr="0088213C">
        <w:trPr>
          <w:trHeight w:val="142"/>
        </w:trPr>
        <w:tc>
          <w:tcPr>
            <w:tcW w:w="2865" w:type="dxa"/>
            <w:tcBorders>
              <w:top w:val="nil"/>
              <w:left w:val="nil"/>
              <w:bottom w:val="nil"/>
              <w:right w:val="nil"/>
            </w:tcBorders>
          </w:tcPr>
          <w:p w14:paraId="2054151F"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GST Payable</w:t>
            </w:r>
          </w:p>
        </w:tc>
        <w:tc>
          <w:tcPr>
            <w:tcW w:w="1560" w:type="dxa"/>
            <w:tcBorders>
              <w:top w:val="nil"/>
              <w:left w:val="nil"/>
              <w:bottom w:val="nil"/>
              <w:right w:val="nil"/>
            </w:tcBorders>
          </w:tcPr>
          <w:p w14:paraId="54BB1A0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28E2819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1492722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5131CBA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(18,164)</w:t>
            </w:r>
          </w:p>
        </w:tc>
        <w:tc>
          <w:tcPr>
            <w:tcW w:w="1417" w:type="dxa"/>
            <w:tcBorders>
              <w:top w:val="nil"/>
              <w:left w:val="nil"/>
              <w:bottom w:val="nil"/>
              <w:right w:val="nil"/>
            </w:tcBorders>
          </w:tcPr>
          <w:p w14:paraId="7E5FD50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(4,289)</w:t>
            </w:r>
          </w:p>
        </w:tc>
      </w:tr>
      <w:tr w:rsidR="000251CF" w:rsidRPr="000251CF" w14:paraId="4CEAB09A" w14:textId="77777777" w:rsidTr="0088213C">
        <w:trPr>
          <w:trHeight w:val="142"/>
        </w:trPr>
        <w:tc>
          <w:tcPr>
            <w:tcW w:w="2865" w:type="dxa"/>
            <w:tcBorders>
              <w:top w:val="nil"/>
              <w:left w:val="nil"/>
              <w:bottom w:val="nil"/>
              <w:right w:val="nil"/>
            </w:tcBorders>
          </w:tcPr>
          <w:p w14:paraId="701F7E59"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Sub Total</w:t>
            </w:r>
          </w:p>
        </w:tc>
        <w:tc>
          <w:tcPr>
            <w:tcW w:w="1560" w:type="dxa"/>
            <w:tcBorders>
              <w:top w:val="nil"/>
              <w:left w:val="nil"/>
              <w:bottom w:val="nil"/>
              <w:right w:val="nil"/>
            </w:tcBorders>
          </w:tcPr>
          <w:p w14:paraId="033EFEA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22BB990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11EB0F1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01ADE86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29,820</w:t>
            </w:r>
          </w:p>
        </w:tc>
        <w:tc>
          <w:tcPr>
            <w:tcW w:w="1417" w:type="dxa"/>
            <w:tcBorders>
              <w:top w:val="nil"/>
              <w:left w:val="nil"/>
              <w:bottom w:val="nil"/>
              <w:right w:val="nil"/>
            </w:tcBorders>
          </w:tcPr>
          <w:p w14:paraId="07B885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50,024</w:t>
            </w:r>
          </w:p>
        </w:tc>
      </w:tr>
      <w:tr w:rsidR="000251CF" w:rsidRPr="000251CF" w14:paraId="3963E766" w14:textId="77777777" w:rsidTr="0088213C">
        <w:trPr>
          <w:trHeight w:val="142"/>
        </w:trPr>
        <w:tc>
          <w:tcPr>
            <w:tcW w:w="2865" w:type="dxa"/>
            <w:tcBorders>
              <w:top w:val="nil"/>
              <w:left w:val="nil"/>
              <w:bottom w:val="nil"/>
              <w:right w:val="nil"/>
            </w:tcBorders>
          </w:tcPr>
          <w:p w14:paraId="6285E93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60" w:type="dxa"/>
            <w:tcBorders>
              <w:top w:val="nil"/>
              <w:left w:val="nil"/>
              <w:bottom w:val="nil"/>
              <w:right w:val="nil"/>
            </w:tcBorders>
          </w:tcPr>
          <w:p w14:paraId="4651A9E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45EF7CC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0F9295D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058A3D4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1417" w:type="dxa"/>
            <w:tcBorders>
              <w:top w:val="nil"/>
              <w:left w:val="nil"/>
              <w:bottom w:val="nil"/>
              <w:right w:val="nil"/>
            </w:tcBorders>
          </w:tcPr>
          <w:p w14:paraId="235CC7A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r>
      <w:tr w:rsidR="000251CF" w:rsidRPr="000251CF" w14:paraId="6178ADC0" w14:textId="77777777" w:rsidTr="0088213C">
        <w:trPr>
          <w:trHeight w:val="142"/>
        </w:trPr>
        <w:tc>
          <w:tcPr>
            <w:tcW w:w="2865" w:type="dxa"/>
            <w:tcBorders>
              <w:top w:val="nil"/>
              <w:left w:val="nil"/>
              <w:bottom w:val="nil"/>
              <w:right w:val="nil"/>
            </w:tcBorders>
          </w:tcPr>
          <w:p w14:paraId="48B1017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Receivables</w:t>
            </w:r>
          </w:p>
        </w:tc>
        <w:tc>
          <w:tcPr>
            <w:tcW w:w="1560" w:type="dxa"/>
            <w:tcBorders>
              <w:top w:val="nil"/>
              <w:left w:val="nil"/>
              <w:bottom w:val="nil"/>
              <w:right w:val="nil"/>
            </w:tcBorders>
          </w:tcPr>
          <w:p w14:paraId="4991B15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50" w:type="dxa"/>
            <w:tcBorders>
              <w:top w:val="nil"/>
              <w:left w:val="nil"/>
              <w:bottom w:val="nil"/>
              <w:right w:val="nil"/>
            </w:tcBorders>
          </w:tcPr>
          <w:p w14:paraId="754CDCD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20C0676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323" w:type="dxa"/>
            <w:tcBorders>
              <w:top w:val="nil"/>
              <w:left w:val="nil"/>
              <w:bottom w:val="nil"/>
              <w:right w:val="nil"/>
            </w:tcBorders>
          </w:tcPr>
          <w:p w14:paraId="104C228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1,820,149</w:t>
            </w:r>
          </w:p>
        </w:tc>
        <w:tc>
          <w:tcPr>
            <w:tcW w:w="1417" w:type="dxa"/>
            <w:tcBorders>
              <w:top w:val="nil"/>
              <w:left w:val="nil"/>
              <w:bottom w:val="nil"/>
              <w:right w:val="nil"/>
            </w:tcBorders>
          </w:tcPr>
          <w:p w14:paraId="53D65B4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928,943</w:t>
            </w:r>
          </w:p>
        </w:tc>
      </w:tr>
    </w:tbl>
    <w:p w14:paraId="6DAE7B5C" w14:textId="77777777" w:rsidR="000251CF" w:rsidRPr="000251CF" w:rsidRDefault="000251CF" w:rsidP="000251CF">
      <w:pPr>
        <w:spacing w:before="120" w:after="0" w:line="240" w:lineRule="auto"/>
        <w:rPr>
          <w:rFonts w:ascii="Calibri" w:eastAsia="Times New Roman" w:hAnsi="Calibri" w:cs="Times New Roman"/>
          <w:bCs/>
          <w:szCs w:val="20"/>
        </w:rPr>
      </w:pPr>
      <w:r w:rsidRPr="000251CF">
        <w:rPr>
          <w:rFonts w:ascii="Calibri" w:eastAsia="Times New Roman" w:hAnsi="Calibri" w:cs="Times New Roman"/>
          <w:b/>
          <w:szCs w:val="20"/>
        </w:rPr>
        <w:t>Accounting Policy</w:t>
      </w:r>
    </w:p>
    <w:p w14:paraId="59BF65BE" w14:textId="77777777" w:rsidR="000251CF" w:rsidRPr="000251CF" w:rsidRDefault="000251CF" w:rsidP="000251CF">
      <w:pPr>
        <w:spacing w:before="0" w:after="0" w:line="240" w:lineRule="auto"/>
        <w:rPr>
          <w:rFonts w:ascii="Calibri" w:eastAsia="Times New Roman" w:hAnsi="Calibri" w:cs="Times New Roman"/>
          <w:bCs/>
          <w:szCs w:val="20"/>
        </w:rPr>
      </w:pPr>
      <w:r w:rsidRPr="000251CF">
        <w:rPr>
          <w:rFonts w:ascii="Calibri" w:eastAsia="Times New Roman" w:hAnsi="Calibri" w:cs="Times New Roman"/>
          <w:bCs/>
          <w:szCs w:val="20"/>
        </w:rPr>
        <w:t>Trade Debtors are recognised at the nominal amounts due, with settlement generally being required within 30 days from invoice.</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1EAF0477"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The collectability of receivables is assessed annually with provision being made for expected credit losses.</w:t>
      </w:r>
    </w:p>
    <w:p w14:paraId="3B4B05EC"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 xml:space="preserve">The receivable loss allowance calculation, based on the probability and timing of potential defaults has been assessed at zero for 2020-21, </w:t>
      </w:r>
      <w:proofErr w:type="gramStart"/>
      <w:r w:rsidRPr="000251CF">
        <w:rPr>
          <w:rFonts w:ascii="Calibri" w:eastAsia="Times New Roman" w:hAnsi="Calibri" w:cs="Times New Roman"/>
          <w:bCs/>
          <w:szCs w:val="20"/>
        </w:rPr>
        <w:t>taking into account</w:t>
      </w:r>
      <w:proofErr w:type="gramEnd"/>
      <w:r w:rsidRPr="000251CF">
        <w:rPr>
          <w:rFonts w:ascii="Calibri" w:eastAsia="Times New Roman" w:hAnsi="Calibri" w:cs="Times New Roman"/>
          <w:bCs/>
          <w:szCs w:val="20"/>
        </w:rPr>
        <w:t xml:space="preserve"> forecasts of future economic conditions as well as past events. There have been no bad debts.</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482F0D85"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 xml:space="preserve">*Accrued Income represents reasonable costs </w:t>
      </w:r>
      <w:proofErr w:type="gramStart"/>
      <w:r w:rsidRPr="000251CF">
        <w:rPr>
          <w:rFonts w:ascii="Calibri" w:eastAsia="Times New Roman" w:hAnsi="Calibri" w:cs="Times New Roman"/>
          <w:bCs/>
          <w:szCs w:val="20"/>
        </w:rPr>
        <w:t>in excess of</w:t>
      </w:r>
      <w:proofErr w:type="gramEnd"/>
      <w:r w:rsidRPr="000251CF">
        <w:rPr>
          <w:rFonts w:ascii="Calibri" w:eastAsia="Times New Roman" w:hAnsi="Calibri" w:cs="Times New Roman"/>
          <w:bCs/>
          <w:szCs w:val="20"/>
        </w:rPr>
        <w:t xml:space="preserve"> regulatory fees received that will be invoiced in the next financial year.</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5026788A" w14:textId="77777777" w:rsidR="000251CF" w:rsidRPr="000251CF" w:rsidRDefault="000251CF" w:rsidP="000251CF">
      <w:pPr>
        <w:spacing w:before="120" w:after="0" w:line="264" w:lineRule="auto"/>
        <w:rPr>
          <w:rFonts w:ascii="Calibri" w:eastAsia="Times New Roman" w:hAnsi="Calibri" w:cs="Times New Roman"/>
          <w:bCs/>
          <w:szCs w:val="20"/>
        </w:rPr>
      </w:pPr>
    </w:p>
    <w:p w14:paraId="6EEB1C13"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br w:type="page"/>
      </w:r>
    </w:p>
    <w:p w14:paraId="4CA0EBDA" w14:textId="77777777" w:rsidR="000251CF" w:rsidRPr="000251CF" w:rsidRDefault="000251CF" w:rsidP="000251CF">
      <w:pPr>
        <w:spacing w:before="0" w:after="0" w:line="264" w:lineRule="auto"/>
        <w:rPr>
          <w:rFonts w:ascii="Calibri" w:eastAsia="Times New Roman" w:hAnsi="Calibri" w:cs="Times New Roman"/>
          <w:b/>
          <w:szCs w:val="20"/>
        </w:rPr>
      </w:pPr>
      <w:r w:rsidRPr="000251CF">
        <w:rPr>
          <w:rFonts w:ascii="Calibri" w:eastAsia="Times New Roman" w:hAnsi="Calibri" w:cs="Times New Roman"/>
          <w:b/>
          <w:szCs w:val="20"/>
        </w:rPr>
        <w:lastRenderedPageBreak/>
        <w:t>Note 13:</w:t>
      </w:r>
    </w:p>
    <w:tbl>
      <w:tblPr>
        <w:tblW w:w="9244" w:type="dxa"/>
        <w:tblInd w:w="-30" w:type="dxa"/>
        <w:tblLayout w:type="fixed"/>
        <w:tblLook w:val="0000" w:firstRow="0" w:lastRow="0" w:firstColumn="0" w:lastColumn="0" w:noHBand="0" w:noVBand="0"/>
      </w:tblPr>
      <w:tblGrid>
        <w:gridCol w:w="1819"/>
        <w:gridCol w:w="1897"/>
        <w:gridCol w:w="1062"/>
        <w:gridCol w:w="982"/>
        <w:gridCol w:w="1783"/>
        <w:gridCol w:w="1701"/>
      </w:tblGrid>
      <w:tr w:rsidR="000251CF" w:rsidRPr="000251CF" w14:paraId="202B1E45" w14:textId="77777777" w:rsidTr="0088213C">
        <w:trPr>
          <w:trHeight w:val="142"/>
        </w:trPr>
        <w:tc>
          <w:tcPr>
            <w:tcW w:w="4778" w:type="dxa"/>
            <w:gridSpan w:val="3"/>
            <w:tcBorders>
              <w:top w:val="nil"/>
              <w:left w:val="nil"/>
              <w:right w:val="nil"/>
            </w:tcBorders>
          </w:tcPr>
          <w:p w14:paraId="5484FA36"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Plant and Equipment and Depreciation Expense</w:t>
            </w:r>
          </w:p>
        </w:tc>
        <w:tc>
          <w:tcPr>
            <w:tcW w:w="982" w:type="dxa"/>
            <w:tcBorders>
              <w:top w:val="nil"/>
              <w:left w:val="nil"/>
              <w:right w:val="nil"/>
            </w:tcBorders>
          </w:tcPr>
          <w:p w14:paraId="0C7FD8A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783" w:type="dxa"/>
            <w:tcBorders>
              <w:top w:val="nil"/>
              <w:left w:val="nil"/>
              <w:right w:val="nil"/>
            </w:tcBorders>
            <w:shd w:val="solid" w:color="C0C0C0" w:fill="auto"/>
          </w:tcPr>
          <w:p w14:paraId="1FA7AC94" w14:textId="77777777" w:rsidR="000251CF" w:rsidRPr="000251CF" w:rsidRDefault="000251CF" w:rsidP="000251CF">
            <w:pPr>
              <w:autoSpaceDE w:val="0"/>
              <w:autoSpaceDN w:val="0"/>
              <w:adjustRightInd w:val="0"/>
              <w:spacing w:before="0" w:after="0" w:line="240" w:lineRule="auto"/>
              <w:ind w:hanging="306"/>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701" w:type="dxa"/>
            <w:tcBorders>
              <w:top w:val="nil"/>
              <w:left w:val="nil"/>
              <w:right w:val="nil"/>
            </w:tcBorders>
            <w:shd w:val="solid" w:color="C0C0C0" w:fill="auto"/>
          </w:tcPr>
          <w:p w14:paraId="7E9473C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44E2A9B8" w14:textId="77777777" w:rsidTr="0088213C">
        <w:trPr>
          <w:trHeight w:val="142"/>
        </w:trPr>
        <w:tc>
          <w:tcPr>
            <w:tcW w:w="1819" w:type="dxa"/>
            <w:tcBorders>
              <w:top w:val="nil"/>
              <w:left w:val="nil"/>
              <w:bottom w:val="single" w:sz="6" w:space="0" w:color="auto"/>
              <w:right w:val="nil"/>
            </w:tcBorders>
          </w:tcPr>
          <w:p w14:paraId="313509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97" w:type="dxa"/>
            <w:tcBorders>
              <w:top w:val="nil"/>
              <w:left w:val="nil"/>
              <w:bottom w:val="single" w:sz="6" w:space="0" w:color="auto"/>
              <w:right w:val="nil"/>
            </w:tcBorders>
          </w:tcPr>
          <w:p w14:paraId="5AC2AAB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single" w:sz="6" w:space="0" w:color="auto"/>
              <w:right w:val="nil"/>
            </w:tcBorders>
          </w:tcPr>
          <w:p w14:paraId="791C044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single" w:sz="6" w:space="0" w:color="auto"/>
              <w:right w:val="nil"/>
            </w:tcBorders>
          </w:tcPr>
          <w:p w14:paraId="42DCCA72"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783" w:type="dxa"/>
            <w:tcBorders>
              <w:top w:val="nil"/>
              <w:left w:val="nil"/>
              <w:bottom w:val="single" w:sz="6" w:space="0" w:color="auto"/>
              <w:right w:val="nil"/>
            </w:tcBorders>
            <w:shd w:val="solid" w:color="C0C0C0" w:fill="auto"/>
          </w:tcPr>
          <w:p w14:paraId="2B4F49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701" w:type="dxa"/>
            <w:tcBorders>
              <w:top w:val="nil"/>
              <w:left w:val="nil"/>
              <w:bottom w:val="single" w:sz="6" w:space="0" w:color="auto"/>
              <w:right w:val="nil"/>
            </w:tcBorders>
            <w:shd w:val="solid" w:color="C0C0C0" w:fill="auto"/>
          </w:tcPr>
          <w:p w14:paraId="1BB68A4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4B709812" w14:textId="77777777" w:rsidTr="0088213C">
        <w:trPr>
          <w:trHeight w:val="142"/>
        </w:trPr>
        <w:tc>
          <w:tcPr>
            <w:tcW w:w="3716" w:type="dxa"/>
            <w:gridSpan w:val="2"/>
            <w:tcBorders>
              <w:top w:val="single" w:sz="6" w:space="0" w:color="auto"/>
              <w:left w:val="nil"/>
              <w:bottom w:val="nil"/>
              <w:right w:val="nil"/>
            </w:tcBorders>
          </w:tcPr>
          <w:p w14:paraId="4695C3F9"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roofErr w:type="spellStart"/>
            <w:r w:rsidRPr="000251CF">
              <w:rPr>
                <w:rFonts w:ascii="Tahoma" w:eastAsia="Times New Roman" w:hAnsi="Tahoma" w:cs="Tahoma"/>
                <w:b/>
                <w:bCs/>
                <w:color w:val="000000"/>
                <w:sz w:val="16"/>
                <w:szCs w:val="16"/>
              </w:rPr>
              <w:t>i</w:t>
            </w:r>
            <w:proofErr w:type="spellEnd"/>
            <w:r w:rsidRPr="000251CF">
              <w:rPr>
                <w:rFonts w:ascii="Tahoma" w:eastAsia="Times New Roman" w:hAnsi="Tahoma" w:cs="Tahoma"/>
                <w:b/>
                <w:bCs/>
                <w:color w:val="000000"/>
                <w:sz w:val="16"/>
                <w:szCs w:val="16"/>
              </w:rPr>
              <w:t xml:space="preserve">) Plant and Equipment </w:t>
            </w:r>
          </w:p>
        </w:tc>
        <w:tc>
          <w:tcPr>
            <w:tcW w:w="1062" w:type="dxa"/>
            <w:tcBorders>
              <w:top w:val="single" w:sz="6" w:space="0" w:color="auto"/>
              <w:left w:val="nil"/>
              <w:bottom w:val="nil"/>
              <w:right w:val="nil"/>
            </w:tcBorders>
          </w:tcPr>
          <w:p w14:paraId="7A8BEFE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single" w:sz="6" w:space="0" w:color="auto"/>
              <w:left w:val="nil"/>
              <w:bottom w:val="nil"/>
              <w:right w:val="nil"/>
            </w:tcBorders>
          </w:tcPr>
          <w:p w14:paraId="657FB04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783" w:type="dxa"/>
            <w:tcBorders>
              <w:top w:val="single" w:sz="6" w:space="0" w:color="auto"/>
              <w:left w:val="nil"/>
              <w:bottom w:val="nil"/>
              <w:right w:val="nil"/>
            </w:tcBorders>
          </w:tcPr>
          <w:p w14:paraId="6E9AB70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single" w:sz="6" w:space="0" w:color="auto"/>
              <w:left w:val="nil"/>
              <w:bottom w:val="nil"/>
              <w:right w:val="nil"/>
            </w:tcBorders>
          </w:tcPr>
          <w:p w14:paraId="406DB2C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11F3DA85" w14:textId="77777777" w:rsidTr="0088213C">
        <w:trPr>
          <w:trHeight w:val="142"/>
        </w:trPr>
        <w:tc>
          <w:tcPr>
            <w:tcW w:w="1819" w:type="dxa"/>
            <w:tcBorders>
              <w:top w:val="nil"/>
              <w:left w:val="nil"/>
              <w:bottom w:val="nil"/>
              <w:right w:val="nil"/>
            </w:tcBorders>
          </w:tcPr>
          <w:p w14:paraId="3986B63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97" w:type="dxa"/>
            <w:tcBorders>
              <w:top w:val="nil"/>
              <w:left w:val="nil"/>
              <w:bottom w:val="nil"/>
              <w:right w:val="nil"/>
            </w:tcBorders>
          </w:tcPr>
          <w:p w14:paraId="0009475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7F032CB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37D6A32D"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783" w:type="dxa"/>
            <w:tcBorders>
              <w:top w:val="nil"/>
              <w:left w:val="nil"/>
              <w:bottom w:val="nil"/>
              <w:right w:val="nil"/>
            </w:tcBorders>
          </w:tcPr>
          <w:p w14:paraId="403EB5D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nil"/>
              <w:left w:val="nil"/>
              <w:bottom w:val="nil"/>
              <w:right w:val="nil"/>
            </w:tcBorders>
          </w:tcPr>
          <w:p w14:paraId="40D3A1D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016429F3" w14:textId="77777777" w:rsidTr="0088213C">
        <w:trPr>
          <w:trHeight w:val="142"/>
        </w:trPr>
        <w:tc>
          <w:tcPr>
            <w:tcW w:w="3716" w:type="dxa"/>
            <w:gridSpan w:val="2"/>
            <w:tcBorders>
              <w:top w:val="nil"/>
              <w:left w:val="nil"/>
              <w:bottom w:val="nil"/>
              <w:right w:val="nil"/>
            </w:tcBorders>
          </w:tcPr>
          <w:p w14:paraId="5312E30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Plant and Equipment: At Cost</w:t>
            </w:r>
          </w:p>
        </w:tc>
        <w:tc>
          <w:tcPr>
            <w:tcW w:w="1062" w:type="dxa"/>
            <w:tcBorders>
              <w:top w:val="nil"/>
              <w:left w:val="nil"/>
              <w:bottom w:val="nil"/>
              <w:right w:val="nil"/>
            </w:tcBorders>
          </w:tcPr>
          <w:p w14:paraId="169B6A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2" w:type="dxa"/>
            <w:tcBorders>
              <w:top w:val="nil"/>
              <w:left w:val="nil"/>
              <w:bottom w:val="nil"/>
              <w:right w:val="nil"/>
            </w:tcBorders>
          </w:tcPr>
          <w:p w14:paraId="6344AE10"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5CD68FB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3,944,611</w:t>
            </w:r>
          </w:p>
        </w:tc>
        <w:tc>
          <w:tcPr>
            <w:tcW w:w="1701" w:type="dxa"/>
            <w:tcBorders>
              <w:top w:val="nil"/>
              <w:left w:val="nil"/>
              <w:bottom w:val="nil"/>
              <w:right w:val="nil"/>
            </w:tcBorders>
          </w:tcPr>
          <w:p w14:paraId="2E54AC5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3,934,407</w:t>
            </w:r>
          </w:p>
        </w:tc>
      </w:tr>
      <w:tr w:rsidR="000251CF" w:rsidRPr="000251CF" w14:paraId="01BB9B88" w14:textId="77777777" w:rsidTr="0088213C">
        <w:trPr>
          <w:trHeight w:val="142"/>
        </w:trPr>
        <w:tc>
          <w:tcPr>
            <w:tcW w:w="3716" w:type="dxa"/>
            <w:gridSpan w:val="2"/>
            <w:tcBorders>
              <w:top w:val="nil"/>
              <w:left w:val="nil"/>
              <w:bottom w:val="nil"/>
              <w:right w:val="nil"/>
            </w:tcBorders>
          </w:tcPr>
          <w:p w14:paraId="7AAA066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Less:  Accumulated Depreciation</w:t>
            </w:r>
          </w:p>
        </w:tc>
        <w:tc>
          <w:tcPr>
            <w:tcW w:w="1062" w:type="dxa"/>
            <w:tcBorders>
              <w:top w:val="nil"/>
              <w:left w:val="nil"/>
              <w:bottom w:val="nil"/>
              <w:right w:val="nil"/>
            </w:tcBorders>
          </w:tcPr>
          <w:p w14:paraId="67C5517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2" w:type="dxa"/>
            <w:tcBorders>
              <w:top w:val="nil"/>
              <w:left w:val="nil"/>
              <w:bottom w:val="nil"/>
              <w:right w:val="nil"/>
            </w:tcBorders>
          </w:tcPr>
          <w:p w14:paraId="17D283AB"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0211F7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(3,204,432)</w:t>
            </w:r>
          </w:p>
        </w:tc>
        <w:tc>
          <w:tcPr>
            <w:tcW w:w="1701" w:type="dxa"/>
            <w:tcBorders>
              <w:top w:val="nil"/>
              <w:left w:val="nil"/>
              <w:bottom w:val="nil"/>
              <w:right w:val="nil"/>
            </w:tcBorders>
          </w:tcPr>
          <w:p w14:paraId="06478B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(2,795,624)</w:t>
            </w:r>
          </w:p>
        </w:tc>
      </w:tr>
      <w:tr w:rsidR="000251CF" w:rsidRPr="000251CF" w14:paraId="15F6CC8A" w14:textId="77777777" w:rsidTr="0088213C">
        <w:trPr>
          <w:trHeight w:val="185"/>
        </w:trPr>
        <w:tc>
          <w:tcPr>
            <w:tcW w:w="1819" w:type="dxa"/>
            <w:tcBorders>
              <w:top w:val="nil"/>
              <w:left w:val="nil"/>
              <w:bottom w:val="nil"/>
              <w:right w:val="nil"/>
            </w:tcBorders>
          </w:tcPr>
          <w:p w14:paraId="154A61DA"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1897" w:type="dxa"/>
            <w:tcBorders>
              <w:top w:val="nil"/>
              <w:left w:val="nil"/>
              <w:bottom w:val="nil"/>
              <w:right w:val="nil"/>
            </w:tcBorders>
          </w:tcPr>
          <w:p w14:paraId="6198AE4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3962F20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23EBDBD9"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2A5DDD7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740,179</w:t>
            </w:r>
          </w:p>
        </w:tc>
        <w:tc>
          <w:tcPr>
            <w:tcW w:w="1701" w:type="dxa"/>
            <w:tcBorders>
              <w:top w:val="nil"/>
              <w:left w:val="nil"/>
              <w:bottom w:val="nil"/>
              <w:right w:val="nil"/>
            </w:tcBorders>
          </w:tcPr>
          <w:p w14:paraId="6E06CD1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1,138,783</w:t>
            </w:r>
          </w:p>
        </w:tc>
      </w:tr>
      <w:tr w:rsidR="000251CF" w:rsidRPr="000251CF" w14:paraId="201DBB21" w14:textId="77777777" w:rsidTr="0088213C">
        <w:trPr>
          <w:trHeight w:val="151"/>
        </w:trPr>
        <w:tc>
          <w:tcPr>
            <w:tcW w:w="1819" w:type="dxa"/>
            <w:tcBorders>
              <w:top w:val="nil"/>
              <w:left w:val="nil"/>
              <w:bottom w:val="nil"/>
              <w:right w:val="nil"/>
            </w:tcBorders>
          </w:tcPr>
          <w:p w14:paraId="3811943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97" w:type="dxa"/>
            <w:tcBorders>
              <w:top w:val="nil"/>
              <w:left w:val="nil"/>
              <w:bottom w:val="nil"/>
              <w:right w:val="nil"/>
            </w:tcBorders>
          </w:tcPr>
          <w:p w14:paraId="1570B44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1FC1435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54412CE2"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6363B07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nil"/>
              <w:left w:val="nil"/>
              <w:bottom w:val="nil"/>
              <w:right w:val="nil"/>
            </w:tcBorders>
          </w:tcPr>
          <w:p w14:paraId="0276BC2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4ED86AF6" w14:textId="77777777" w:rsidTr="0088213C">
        <w:trPr>
          <w:trHeight w:val="151"/>
        </w:trPr>
        <w:tc>
          <w:tcPr>
            <w:tcW w:w="4778" w:type="dxa"/>
            <w:gridSpan w:val="3"/>
            <w:tcBorders>
              <w:top w:val="nil"/>
              <w:left w:val="nil"/>
              <w:bottom w:val="nil"/>
              <w:right w:val="nil"/>
            </w:tcBorders>
          </w:tcPr>
          <w:p w14:paraId="2FA09DF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(ii) Plant and Equipment Reconciliation </w:t>
            </w:r>
          </w:p>
        </w:tc>
        <w:tc>
          <w:tcPr>
            <w:tcW w:w="982" w:type="dxa"/>
            <w:tcBorders>
              <w:top w:val="nil"/>
              <w:left w:val="nil"/>
              <w:bottom w:val="nil"/>
              <w:right w:val="nil"/>
            </w:tcBorders>
          </w:tcPr>
          <w:p w14:paraId="3FD9917B"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18AEF9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701" w:type="dxa"/>
            <w:tcBorders>
              <w:top w:val="nil"/>
              <w:left w:val="nil"/>
              <w:bottom w:val="nil"/>
              <w:right w:val="nil"/>
            </w:tcBorders>
          </w:tcPr>
          <w:p w14:paraId="0BAEE01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7D276251" w14:textId="77777777" w:rsidTr="0088213C">
        <w:trPr>
          <w:trHeight w:val="151"/>
        </w:trPr>
        <w:tc>
          <w:tcPr>
            <w:tcW w:w="1819" w:type="dxa"/>
            <w:tcBorders>
              <w:top w:val="nil"/>
              <w:left w:val="nil"/>
              <w:bottom w:val="nil"/>
              <w:right w:val="nil"/>
            </w:tcBorders>
          </w:tcPr>
          <w:p w14:paraId="5F8C429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97" w:type="dxa"/>
            <w:tcBorders>
              <w:top w:val="nil"/>
              <w:left w:val="nil"/>
              <w:bottom w:val="nil"/>
              <w:right w:val="nil"/>
            </w:tcBorders>
          </w:tcPr>
          <w:p w14:paraId="22E2C7C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71164CD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7F8DEAF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3484" w:type="dxa"/>
            <w:gridSpan w:val="2"/>
            <w:tcBorders>
              <w:top w:val="nil"/>
              <w:left w:val="nil"/>
              <w:bottom w:val="nil"/>
              <w:right w:val="nil"/>
            </w:tcBorders>
          </w:tcPr>
          <w:p w14:paraId="027C7F2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Plant and Equipment</w:t>
            </w:r>
          </w:p>
        </w:tc>
      </w:tr>
      <w:tr w:rsidR="000251CF" w:rsidRPr="000251CF" w14:paraId="0C009019" w14:textId="77777777" w:rsidTr="0088213C">
        <w:trPr>
          <w:trHeight w:val="151"/>
        </w:trPr>
        <w:tc>
          <w:tcPr>
            <w:tcW w:w="1819" w:type="dxa"/>
            <w:tcBorders>
              <w:top w:val="nil"/>
              <w:left w:val="nil"/>
              <w:bottom w:val="nil"/>
              <w:right w:val="nil"/>
            </w:tcBorders>
          </w:tcPr>
          <w:p w14:paraId="6AF3CB7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897" w:type="dxa"/>
            <w:tcBorders>
              <w:top w:val="nil"/>
              <w:left w:val="nil"/>
              <w:bottom w:val="nil"/>
              <w:right w:val="nil"/>
            </w:tcBorders>
          </w:tcPr>
          <w:p w14:paraId="25D27A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16AB2B4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3FA8F374"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4F9071B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01" w:type="dxa"/>
            <w:tcBorders>
              <w:top w:val="nil"/>
              <w:left w:val="nil"/>
              <w:bottom w:val="nil"/>
              <w:right w:val="nil"/>
            </w:tcBorders>
          </w:tcPr>
          <w:p w14:paraId="7368869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39A3B9B0" w14:textId="77777777" w:rsidTr="0088213C">
        <w:trPr>
          <w:trHeight w:val="151"/>
        </w:trPr>
        <w:tc>
          <w:tcPr>
            <w:tcW w:w="3716" w:type="dxa"/>
            <w:gridSpan w:val="2"/>
            <w:tcBorders>
              <w:top w:val="nil"/>
              <w:left w:val="nil"/>
              <w:bottom w:val="nil"/>
              <w:right w:val="nil"/>
            </w:tcBorders>
          </w:tcPr>
          <w:p w14:paraId="0CA4D3F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Carrying amount </w:t>
            </w:r>
            <w:proofErr w:type="gramStart"/>
            <w:r w:rsidRPr="000251CF">
              <w:rPr>
                <w:rFonts w:ascii="Tahoma" w:eastAsia="Times New Roman" w:hAnsi="Tahoma" w:cs="Tahoma"/>
                <w:b/>
                <w:bCs/>
                <w:color w:val="000000"/>
                <w:sz w:val="16"/>
                <w:szCs w:val="16"/>
              </w:rPr>
              <w:t>at</w:t>
            </w:r>
            <w:proofErr w:type="gramEnd"/>
            <w:r w:rsidRPr="000251CF">
              <w:rPr>
                <w:rFonts w:ascii="Tahoma" w:eastAsia="Times New Roman" w:hAnsi="Tahoma" w:cs="Tahoma"/>
                <w:b/>
                <w:bCs/>
                <w:color w:val="000000"/>
                <w:sz w:val="16"/>
                <w:szCs w:val="16"/>
              </w:rPr>
              <w:t xml:space="preserve"> 1 July 2020</w:t>
            </w:r>
          </w:p>
        </w:tc>
        <w:tc>
          <w:tcPr>
            <w:tcW w:w="1062" w:type="dxa"/>
            <w:tcBorders>
              <w:top w:val="nil"/>
              <w:left w:val="nil"/>
              <w:bottom w:val="nil"/>
              <w:right w:val="nil"/>
            </w:tcBorders>
          </w:tcPr>
          <w:p w14:paraId="2A639B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4A55D8C9"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5A6A6F6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01" w:type="dxa"/>
            <w:tcBorders>
              <w:top w:val="nil"/>
              <w:left w:val="nil"/>
              <w:bottom w:val="nil"/>
              <w:right w:val="nil"/>
            </w:tcBorders>
          </w:tcPr>
          <w:p w14:paraId="4041DC0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1,138,783</w:t>
            </w:r>
          </w:p>
        </w:tc>
      </w:tr>
      <w:tr w:rsidR="000251CF" w:rsidRPr="000251CF" w14:paraId="1A159A64" w14:textId="77777777" w:rsidTr="0088213C">
        <w:trPr>
          <w:trHeight w:val="151"/>
        </w:trPr>
        <w:tc>
          <w:tcPr>
            <w:tcW w:w="3716" w:type="dxa"/>
            <w:gridSpan w:val="2"/>
            <w:tcBorders>
              <w:top w:val="nil"/>
              <w:left w:val="nil"/>
              <w:bottom w:val="nil"/>
              <w:right w:val="nil"/>
            </w:tcBorders>
          </w:tcPr>
          <w:p w14:paraId="59175C0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Acquisitions (including upgrades)</w:t>
            </w:r>
          </w:p>
        </w:tc>
        <w:tc>
          <w:tcPr>
            <w:tcW w:w="1062" w:type="dxa"/>
            <w:tcBorders>
              <w:top w:val="nil"/>
              <w:left w:val="nil"/>
              <w:bottom w:val="nil"/>
              <w:right w:val="nil"/>
            </w:tcBorders>
          </w:tcPr>
          <w:p w14:paraId="7032FA4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6EB90974"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4BAC8AD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01" w:type="dxa"/>
            <w:tcBorders>
              <w:top w:val="nil"/>
              <w:left w:val="nil"/>
              <w:bottom w:val="nil"/>
              <w:right w:val="nil"/>
            </w:tcBorders>
          </w:tcPr>
          <w:p w14:paraId="35585DD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10,204</w:t>
            </w:r>
          </w:p>
        </w:tc>
      </w:tr>
      <w:tr w:rsidR="000251CF" w:rsidRPr="000251CF" w14:paraId="4DAC8BA8" w14:textId="77777777" w:rsidTr="0088213C">
        <w:trPr>
          <w:trHeight w:val="151"/>
        </w:trPr>
        <w:tc>
          <w:tcPr>
            <w:tcW w:w="1819" w:type="dxa"/>
            <w:tcBorders>
              <w:top w:val="nil"/>
              <w:left w:val="nil"/>
              <w:bottom w:val="nil"/>
              <w:right w:val="nil"/>
            </w:tcBorders>
          </w:tcPr>
          <w:p w14:paraId="49D09D28"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Disposals</w:t>
            </w:r>
          </w:p>
        </w:tc>
        <w:tc>
          <w:tcPr>
            <w:tcW w:w="1897" w:type="dxa"/>
            <w:tcBorders>
              <w:top w:val="nil"/>
              <w:left w:val="nil"/>
              <w:bottom w:val="nil"/>
              <w:right w:val="nil"/>
            </w:tcBorders>
          </w:tcPr>
          <w:p w14:paraId="6329F58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5BBD086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7DF7E80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2A8E2100"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01" w:type="dxa"/>
            <w:tcBorders>
              <w:top w:val="nil"/>
              <w:left w:val="nil"/>
              <w:bottom w:val="nil"/>
              <w:right w:val="nil"/>
            </w:tcBorders>
          </w:tcPr>
          <w:p w14:paraId="2994D49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r>
      <w:tr w:rsidR="000251CF" w:rsidRPr="000251CF" w14:paraId="16090A72" w14:textId="77777777" w:rsidTr="0088213C">
        <w:trPr>
          <w:trHeight w:val="151"/>
        </w:trPr>
        <w:tc>
          <w:tcPr>
            <w:tcW w:w="1819" w:type="dxa"/>
            <w:tcBorders>
              <w:top w:val="nil"/>
              <w:left w:val="nil"/>
              <w:bottom w:val="nil"/>
              <w:right w:val="nil"/>
            </w:tcBorders>
          </w:tcPr>
          <w:p w14:paraId="6F768DF6"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Depreciation Expense</w:t>
            </w:r>
          </w:p>
        </w:tc>
        <w:tc>
          <w:tcPr>
            <w:tcW w:w="1897" w:type="dxa"/>
            <w:tcBorders>
              <w:top w:val="nil"/>
              <w:left w:val="nil"/>
              <w:bottom w:val="nil"/>
              <w:right w:val="nil"/>
            </w:tcBorders>
          </w:tcPr>
          <w:p w14:paraId="3230FF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62" w:type="dxa"/>
            <w:tcBorders>
              <w:top w:val="nil"/>
              <w:left w:val="nil"/>
              <w:bottom w:val="nil"/>
              <w:right w:val="nil"/>
            </w:tcBorders>
          </w:tcPr>
          <w:p w14:paraId="1CCEF84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4B18A69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83" w:type="dxa"/>
            <w:tcBorders>
              <w:top w:val="nil"/>
              <w:left w:val="nil"/>
              <w:bottom w:val="nil"/>
              <w:right w:val="nil"/>
            </w:tcBorders>
          </w:tcPr>
          <w:p w14:paraId="0BBC0265"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701" w:type="dxa"/>
            <w:tcBorders>
              <w:top w:val="nil"/>
              <w:left w:val="nil"/>
              <w:bottom w:val="nil"/>
              <w:right w:val="nil"/>
            </w:tcBorders>
          </w:tcPr>
          <w:p w14:paraId="46B482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(408,808)</w:t>
            </w:r>
          </w:p>
        </w:tc>
      </w:tr>
      <w:tr w:rsidR="000251CF" w:rsidRPr="000251CF" w14:paraId="5F13BB49" w14:textId="77777777" w:rsidTr="0088213C">
        <w:trPr>
          <w:trHeight w:val="142"/>
        </w:trPr>
        <w:tc>
          <w:tcPr>
            <w:tcW w:w="3716" w:type="dxa"/>
            <w:gridSpan w:val="2"/>
            <w:tcBorders>
              <w:top w:val="nil"/>
              <w:left w:val="nil"/>
              <w:bottom w:val="nil"/>
              <w:right w:val="nil"/>
            </w:tcBorders>
          </w:tcPr>
          <w:p w14:paraId="73E27334"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Carrying amount </w:t>
            </w:r>
            <w:proofErr w:type="gramStart"/>
            <w:r w:rsidRPr="000251CF">
              <w:rPr>
                <w:rFonts w:ascii="Tahoma" w:eastAsia="Times New Roman" w:hAnsi="Tahoma" w:cs="Tahoma"/>
                <w:b/>
                <w:bCs/>
                <w:color w:val="000000"/>
                <w:sz w:val="16"/>
                <w:szCs w:val="16"/>
              </w:rPr>
              <w:t>at</w:t>
            </w:r>
            <w:proofErr w:type="gramEnd"/>
            <w:r w:rsidRPr="000251CF">
              <w:rPr>
                <w:rFonts w:ascii="Tahoma" w:eastAsia="Times New Roman" w:hAnsi="Tahoma" w:cs="Tahoma"/>
                <w:b/>
                <w:bCs/>
                <w:color w:val="000000"/>
                <w:sz w:val="16"/>
                <w:szCs w:val="16"/>
              </w:rPr>
              <w:t xml:space="preserve"> 30 June 2021</w:t>
            </w:r>
          </w:p>
        </w:tc>
        <w:tc>
          <w:tcPr>
            <w:tcW w:w="1062" w:type="dxa"/>
            <w:tcBorders>
              <w:top w:val="nil"/>
              <w:left w:val="nil"/>
              <w:bottom w:val="nil"/>
              <w:right w:val="nil"/>
            </w:tcBorders>
          </w:tcPr>
          <w:p w14:paraId="516A902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982" w:type="dxa"/>
            <w:tcBorders>
              <w:top w:val="nil"/>
              <w:left w:val="nil"/>
              <w:bottom w:val="nil"/>
              <w:right w:val="nil"/>
            </w:tcBorders>
          </w:tcPr>
          <w:p w14:paraId="0028B7D5"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i/>
                <w:iCs/>
                <w:color w:val="000000"/>
                <w:sz w:val="18"/>
                <w:szCs w:val="18"/>
              </w:rPr>
            </w:pPr>
          </w:p>
        </w:tc>
        <w:tc>
          <w:tcPr>
            <w:tcW w:w="1783" w:type="dxa"/>
            <w:tcBorders>
              <w:top w:val="nil"/>
              <w:left w:val="nil"/>
              <w:bottom w:val="nil"/>
              <w:right w:val="nil"/>
            </w:tcBorders>
          </w:tcPr>
          <w:p w14:paraId="3521186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i/>
                <w:iCs/>
                <w:color w:val="000000"/>
                <w:sz w:val="18"/>
                <w:szCs w:val="18"/>
              </w:rPr>
            </w:pPr>
          </w:p>
        </w:tc>
        <w:tc>
          <w:tcPr>
            <w:tcW w:w="1701" w:type="dxa"/>
            <w:tcBorders>
              <w:top w:val="nil"/>
              <w:left w:val="nil"/>
              <w:bottom w:val="nil"/>
              <w:right w:val="nil"/>
            </w:tcBorders>
          </w:tcPr>
          <w:p w14:paraId="51B31AB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740,179</w:t>
            </w:r>
          </w:p>
        </w:tc>
      </w:tr>
    </w:tbl>
    <w:p w14:paraId="1304C833" w14:textId="77777777" w:rsidR="000251CF" w:rsidRPr="000251CF" w:rsidRDefault="000251CF" w:rsidP="000251CF">
      <w:pPr>
        <w:spacing w:before="120" w:after="0" w:line="240" w:lineRule="auto"/>
        <w:rPr>
          <w:rFonts w:ascii="Calibri" w:eastAsia="Times New Roman" w:hAnsi="Calibri" w:cs="Times New Roman"/>
          <w:b/>
          <w:szCs w:val="20"/>
        </w:rPr>
      </w:pPr>
      <w:r w:rsidRPr="000251CF">
        <w:rPr>
          <w:rFonts w:ascii="Calibri" w:eastAsia="Times New Roman" w:hAnsi="Calibri" w:cs="Times New Roman"/>
          <w:b/>
          <w:szCs w:val="20"/>
        </w:rPr>
        <w:t>Accounting Policy</w:t>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r w:rsidRPr="000251CF">
        <w:rPr>
          <w:rFonts w:ascii="Calibri" w:eastAsia="Times New Roman" w:hAnsi="Calibri" w:cs="Times New Roman"/>
          <w:b/>
          <w:szCs w:val="20"/>
        </w:rPr>
        <w:tab/>
      </w:r>
    </w:p>
    <w:p w14:paraId="3980F67D" w14:textId="77777777" w:rsidR="000251CF" w:rsidRPr="000251CF" w:rsidRDefault="000251CF" w:rsidP="000251CF">
      <w:pPr>
        <w:spacing w:before="0" w:after="0" w:line="264" w:lineRule="auto"/>
        <w:rPr>
          <w:rFonts w:ascii="Calibri" w:eastAsia="Times New Roman" w:hAnsi="Calibri" w:cs="Times New Roman"/>
          <w:bCs/>
          <w:szCs w:val="20"/>
        </w:rPr>
      </w:pPr>
      <w:r w:rsidRPr="000251CF">
        <w:rPr>
          <w:rFonts w:ascii="Calibri" w:eastAsia="Times New Roman" w:hAnsi="Calibri" w:cs="Times New Roman"/>
          <w:bCs/>
          <w:szCs w:val="20"/>
        </w:rPr>
        <w:t xml:space="preserve">The Queensland Government's policy, titled </w:t>
      </w:r>
      <w:r w:rsidRPr="000251CF">
        <w:rPr>
          <w:rFonts w:ascii="Calibri" w:eastAsia="Times New Roman" w:hAnsi="Calibri" w:cs="Times New Roman"/>
          <w:bCs/>
          <w:i/>
          <w:iCs/>
          <w:szCs w:val="20"/>
        </w:rPr>
        <w:t>Non-Current Asset Policies for the Queensland Public Sector</w:t>
      </w:r>
      <w:r w:rsidRPr="000251CF">
        <w:rPr>
          <w:rFonts w:ascii="Calibri" w:eastAsia="Times New Roman" w:hAnsi="Calibri" w:cs="Times New Roman"/>
          <w:bCs/>
          <w:szCs w:val="20"/>
        </w:rPr>
        <w:t xml:space="preserve">, establishes prescribed asset measurement methods and recognition thresholds. In accordance with this policy, the assets of the QCA are measured at current replacement cost.  On acquisition, assets are valued at cost including all expenses necessary to have the asset ready for use. Items of plant and equipment with a cost value equal to or </w:t>
      </w:r>
      <w:proofErr w:type="gramStart"/>
      <w:r w:rsidRPr="000251CF">
        <w:rPr>
          <w:rFonts w:ascii="Calibri" w:eastAsia="Times New Roman" w:hAnsi="Calibri" w:cs="Times New Roman"/>
          <w:bCs/>
          <w:szCs w:val="20"/>
        </w:rPr>
        <w:t>in excess of</w:t>
      </w:r>
      <w:proofErr w:type="gramEnd"/>
      <w:r w:rsidRPr="000251CF">
        <w:rPr>
          <w:rFonts w:ascii="Calibri" w:eastAsia="Times New Roman" w:hAnsi="Calibri" w:cs="Times New Roman"/>
          <w:bCs/>
          <w:szCs w:val="20"/>
        </w:rPr>
        <w:t xml:space="preserve"> $5,000 are recognised for financial purposes in the year of acquisition. Items with a lesser value are expensed in the year of acquisition.</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237CE876"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The carrying amounts for plant and equipment at cost approximate their fair value.</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09EEC28C" w14:textId="77777777" w:rsidR="000251CF" w:rsidRPr="000251CF" w:rsidRDefault="000251CF" w:rsidP="000251CF">
      <w:pPr>
        <w:spacing w:before="120" w:after="0" w:line="264" w:lineRule="auto"/>
        <w:rPr>
          <w:rFonts w:ascii="Calibri" w:eastAsia="Times New Roman" w:hAnsi="Calibri" w:cs="Times New Roman"/>
          <w:bCs/>
          <w:szCs w:val="20"/>
          <w:u w:val="single"/>
        </w:rPr>
      </w:pPr>
      <w:r w:rsidRPr="000251CF">
        <w:rPr>
          <w:rFonts w:ascii="Calibri" w:eastAsia="Times New Roman" w:hAnsi="Calibri" w:cs="Times New Roman"/>
          <w:bCs/>
          <w:szCs w:val="20"/>
          <w:u w:val="single"/>
        </w:rPr>
        <w:t>Impairment</w:t>
      </w:r>
    </w:p>
    <w:p w14:paraId="27AA39DF" w14:textId="77777777" w:rsidR="000251CF" w:rsidRPr="000251CF" w:rsidRDefault="000251CF" w:rsidP="000251CF">
      <w:pPr>
        <w:spacing w:before="0" w:after="0" w:line="264" w:lineRule="auto"/>
        <w:rPr>
          <w:rFonts w:ascii="Calibri" w:eastAsia="Times New Roman" w:hAnsi="Calibri" w:cs="Times New Roman"/>
          <w:bCs/>
          <w:szCs w:val="20"/>
        </w:rPr>
      </w:pPr>
      <w:r w:rsidRPr="000251CF">
        <w:rPr>
          <w:rFonts w:ascii="Calibri" w:eastAsia="Times New Roman" w:hAnsi="Calibri" w:cs="Times New Roman"/>
          <w:bCs/>
          <w:szCs w:val="20"/>
        </w:rPr>
        <w:t>All non-current physical assets are assessed for indicators of impairment on an annual basis. If an indicator of possible impairment exists, the QCA determines the asset's recoverable amount. Any amount by which the asset's carrying value exceeds the recoverable amount is recorded as an impairment loss and recognised immediately in the Statement of Comprehensive Income.</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487ADEA7" w14:textId="77777777" w:rsidR="000251CF" w:rsidRPr="000251CF" w:rsidRDefault="000251CF" w:rsidP="000251CF">
      <w:pPr>
        <w:spacing w:before="120" w:after="0" w:line="264" w:lineRule="auto"/>
        <w:rPr>
          <w:rFonts w:ascii="Calibri" w:eastAsia="Times New Roman" w:hAnsi="Calibri" w:cs="Times New Roman"/>
          <w:bCs/>
          <w:szCs w:val="20"/>
          <w:u w:val="single"/>
        </w:rPr>
      </w:pPr>
      <w:r w:rsidRPr="000251CF">
        <w:rPr>
          <w:rFonts w:ascii="Calibri" w:eastAsia="Times New Roman" w:hAnsi="Calibri" w:cs="Times New Roman"/>
          <w:bCs/>
          <w:szCs w:val="20"/>
          <w:u w:val="single"/>
        </w:rPr>
        <w:t>Depreciation Expense</w:t>
      </w:r>
    </w:p>
    <w:p w14:paraId="2CBC80D0" w14:textId="77777777" w:rsidR="000251CF" w:rsidRPr="000251CF" w:rsidRDefault="000251CF" w:rsidP="000251CF">
      <w:pPr>
        <w:spacing w:before="0" w:after="0" w:line="264" w:lineRule="auto"/>
        <w:rPr>
          <w:rFonts w:ascii="Calibri" w:eastAsia="Times New Roman" w:hAnsi="Calibri" w:cs="Times New Roman"/>
          <w:bCs/>
          <w:szCs w:val="20"/>
        </w:rPr>
      </w:pPr>
      <w:r w:rsidRPr="000251CF">
        <w:rPr>
          <w:rFonts w:ascii="Calibri" w:eastAsia="Times New Roman" w:hAnsi="Calibri" w:cs="Times New Roman"/>
          <w:bCs/>
          <w:szCs w:val="20"/>
        </w:rPr>
        <w:t xml:space="preserve">Depreciation of plant and equipment is calculated on a </w:t>
      </w:r>
      <w:proofErr w:type="gramStart"/>
      <w:r w:rsidRPr="000251CF">
        <w:rPr>
          <w:rFonts w:ascii="Calibri" w:eastAsia="Times New Roman" w:hAnsi="Calibri" w:cs="Times New Roman"/>
          <w:bCs/>
          <w:szCs w:val="20"/>
        </w:rPr>
        <w:t>straight line</w:t>
      </w:r>
      <w:proofErr w:type="gramEnd"/>
      <w:r w:rsidRPr="000251CF">
        <w:rPr>
          <w:rFonts w:ascii="Calibri" w:eastAsia="Times New Roman" w:hAnsi="Calibri" w:cs="Times New Roman"/>
          <w:bCs/>
          <w:szCs w:val="20"/>
        </w:rPr>
        <w:t xml:space="preserve"> basis so as to allocate the net cost of each asset, less its estimated residual value, progressively over its estimated useful life to the QCA. Fixtures and fittings are depreciated over the lesser of the unexpired period of the QCA's building lease and the estimated useful life, while other plant and equipment is depreciated over the estimated useful life.  </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56A684BA"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The estimation of the useful lives of assets is based on historical experience with similar assets and asset turnover practices of the QCA. Reassessments of useful life estimates are implemented prospectively.</w:t>
      </w:r>
      <w:r w:rsidRPr="000251CF">
        <w:rPr>
          <w:rFonts w:ascii="Calibri" w:eastAsia="Times New Roman" w:hAnsi="Calibri" w:cs="Times New Roman"/>
          <w:bCs/>
          <w:szCs w:val="20"/>
        </w:rPr>
        <w:tab/>
      </w:r>
    </w:p>
    <w:p w14:paraId="4D3EB341" w14:textId="77777777" w:rsidR="000251CF" w:rsidRPr="000251CF" w:rsidRDefault="000251CF" w:rsidP="000251CF">
      <w:pPr>
        <w:spacing w:before="120" w:after="0" w:line="264" w:lineRule="auto"/>
        <w:rPr>
          <w:rFonts w:ascii="Calibri" w:eastAsia="Times New Roman" w:hAnsi="Calibri" w:cs="Times New Roman"/>
          <w:bCs/>
          <w:szCs w:val="20"/>
        </w:rPr>
      </w:pPr>
      <w:r w:rsidRPr="000251CF">
        <w:rPr>
          <w:rFonts w:ascii="Calibri" w:eastAsia="Times New Roman" w:hAnsi="Calibri" w:cs="Times New Roman"/>
          <w:bCs/>
          <w:szCs w:val="20"/>
        </w:rPr>
        <w:t>In general, the following depreciation rate ranges have been used:</w:t>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r w:rsidRPr="000251CF">
        <w:rPr>
          <w:rFonts w:ascii="Calibri" w:eastAsia="Times New Roman" w:hAnsi="Calibri" w:cs="Times New Roman"/>
          <w:bCs/>
          <w:szCs w:val="20"/>
        </w:rPr>
        <w:tab/>
      </w:r>
    </w:p>
    <w:p w14:paraId="796F9CBA" w14:textId="77777777" w:rsidR="000251CF" w:rsidRPr="000251CF" w:rsidRDefault="000251CF" w:rsidP="000251CF">
      <w:pPr>
        <w:numPr>
          <w:ilvl w:val="0"/>
          <w:numId w:val="39"/>
        </w:numPr>
        <w:spacing w:before="12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Office Equipment:</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t xml:space="preserve">10% to 33% </w:t>
      </w:r>
    </w:p>
    <w:p w14:paraId="49DC7CC9"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Computer Equipment:</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t xml:space="preserve">20% </w:t>
      </w:r>
    </w:p>
    <w:p w14:paraId="2AAC168B"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Fixtures and Fittings: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t xml:space="preserve">10% to 12% </w:t>
      </w:r>
    </w:p>
    <w:p w14:paraId="26E99F13" w14:textId="77777777" w:rsidR="000251CF" w:rsidRPr="000251CF" w:rsidRDefault="000251CF" w:rsidP="000251CF">
      <w:pPr>
        <w:numPr>
          <w:ilvl w:val="0"/>
          <w:numId w:val="39"/>
        </w:numPr>
        <w:spacing w:before="0" w:after="12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Leasehold Improvements:</w:t>
      </w:r>
      <w:r w:rsidRPr="000251CF">
        <w:rPr>
          <w:rFonts w:ascii="Calibri" w:eastAsia="Times New Roman" w:hAnsi="Calibri" w:cs="Times New Roman"/>
          <w:szCs w:val="20"/>
        </w:rPr>
        <w:tab/>
      </w:r>
      <w:r w:rsidRPr="000251CF">
        <w:rPr>
          <w:rFonts w:ascii="Calibri" w:eastAsia="Times New Roman" w:hAnsi="Calibri" w:cs="Times New Roman"/>
          <w:szCs w:val="20"/>
        </w:rPr>
        <w:tab/>
        <w:t>10% to 12%</w:t>
      </w:r>
    </w:p>
    <w:p w14:paraId="6B8867CD" w14:textId="77777777" w:rsidR="000251CF" w:rsidRPr="000251CF" w:rsidRDefault="000251CF" w:rsidP="000251CF">
      <w:pPr>
        <w:spacing w:before="0" w:after="0" w:line="264" w:lineRule="auto"/>
        <w:rPr>
          <w:rFonts w:ascii="Tahoma" w:eastAsia="Times New Roman" w:hAnsi="Tahoma" w:cs="Tahoma"/>
          <w:sz w:val="16"/>
          <w:szCs w:val="16"/>
        </w:rPr>
      </w:pPr>
    </w:p>
    <w:p w14:paraId="6B0323BF" w14:textId="77777777" w:rsidR="000251CF" w:rsidRPr="000251CF" w:rsidRDefault="000251CF" w:rsidP="000251CF">
      <w:pPr>
        <w:spacing w:before="0" w:after="0" w:line="240" w:lineRule="auto"/>
        <w:rPr>
          <w:rFonts w:ascii="Calibri" w:eastAsia="Calibri" w:hAnsi="Calibri" w:cs="Times New Roman"/>
          <w:color w:val="363636"/>
        </w:rPr>
      </w:pPr>
      <w:r w:rsidRPr="000251CF">
        <w:rPr>
          <w:rFonts w:ascii="Calibri" w:eastAsia="Times New Roman" w:hAnsi="Calibri" w:cs="Times New Roman"/>
          <w:sz w:val="21"/>
          <w:szCs w:val="20"/>
        </w:rPr>
        <w:br w:type="page"/>
      </w:r>
    </w:p>
    <w:p w14:paraId="727F5563" w14:textId="77777777" w:rsidR="000251CF" w:rsidRPr="000251CF" w:rsidRDefault="000251CF" w:rsidP="000251CF">
      <w:pPr>
        <w:spacing w:before="0"/>
        <w:ind w:left="284" w:hanging="284"/>
        <w:rPr>
          <w:rFonts w:ascii="Calibri" w:eastAsia="Calibri" w:hAnsi="Calibri" w:cs="Times New Roman"/>
          <w:b/>
          <w:color w:val="363636"/>
        </w:rPr>
      </w:pPr>
      <w:r w:rsidRPr="000251CF">
        <w:rPr>
          <w:rFonts w:ascii="Calibri" w:eastAsia="Calibri" w:hAnsi="Calibri" w:cs="Times New Roman"/>
          <w:b/>
          <w:color w:val="363636"/>
        </w:rPr>
        <w:lastRenderedPageBreak/>
        <w:t>Note 14:</w:t>
      </w:r>
    </w:p>
    <w:tbl>
      <w:tblPr>
        <w:tblW w:w="9102" w:type="dxa"/>
        <w:tblInd w:w="-30" w:type="dxa"/>
        <w:tblLayout w:type="fixed"/>
        <w:tblLook w:val="0000" w:firstRow="0" w:lastRow="0" w:firstColumn="0" w:lastColumn="0" w:noHBand="0" w:noVBand="0"/>
      </w:tblPr>
      <w:tblGrid>
        <w:gridCol w:w="2155"/>
        <w:gridCol w:w="982"/>
        <w:gridCol w:w="1058"/>
        <w:gridCol w:w="1087"/>
        <w:gridCol w:w="844"/>
        <w:gridCol w:w="1417"/>
        <w:gridCol w:w="1559"/>
      </w:tblGrid>
      <w:tr w:rsidR="000251CF" w:rsidRPr="000251CF" w14:paraId="0504B1B5" w14:textId="77777777" w:rsidTr="0088213C">
        <w:trPr>
          <w:trHeight w:val="142"/>
        </w:trPr>
        <w:tc>
          <w:tcPr>
            <w:tcW w:w="2157" w:type="dxa"/>
            <w:tcBorders>
              <w:top w:val="nil"/>
              <w:left w:val="nil"/>
              <w:right w:val="nil"/>
            </w:tcBorders>
          </w:tcPr>
          <w:p w14:paraId="19FBB2AD"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Leases</w:t>
            </w:r>
          </w:p>
        </w:tc>
        <w:tc>
          <w:tcPr>
            <w:tcW w:w="982" w:type="dxa"/>
            <w:tcBorders>
              <w:top w:val="nil"/>
              <w:left w:val="nil"/>
              <w:right w:val="nil"/>
            </w:tcBorders>
          </w:tcPr>
          <w:p w14:paraId="6802462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right w:val="nil"/>
            </w:tcBorders>
          </w:tcPr>
          <w:p w14:paraId="3A492B1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right w:val="nil"/>
            </w:tcBorders>
          </w:tcPr>
          <w:p w14:paraId="240605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right w:val="nil"/>
            </w:tcBorders>
          </w:tcPr>
          <w:p w14:paraId="1600FBD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417" w:type="dxa"/>
            <w:tcBorders>
              <w:top w:val="nil"/>
              <w:left w:val="nil"/>
              <w:right w:val="nil"/>
            </w:tcBorders>
            <w:shd w:val="solid" w:color="C0C0C0" w:fill="auto"/>
          </w:tcPr>
          <w:p w14:paraId="3ECB44C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559" w:type="dxa"/>
            <w:tcBorders>
              <w:top w:val="nil"/>
              <w:left w:val="nil"/>
              <w:right w:val="nil"/>
            </w:tcBorders>
            <w:shd w:val="solid" w:color="C0C0C0" w:fill="auto"/>
          </w:tcPr>
          <w:p w14:paraId="171B151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328A4557" w14:textId="77777777" w:rsidTr="0088213C">
        <w:trPr>
          <w:trHeight w:val="142"/>
        </w:trPr>
        <w:tc>
          <w:tcPr>
            <w:tcW w:w="2157" w:type="dxa"/>
            <w:tcBorders>
              <w:top w:val="nil"/>
              <w:left w:val="nil"/>
              <w:bottom w:val="single" w:sz="6" w:space="0" w:color="auto"/>
              <w:right w:val="nil"/>
            </w:tcBorders>
          </w:tcPr>
          <w:p w14:paraId="20220F8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single" w:sz="6" w:space="0" w:color="auto"/>
              <w:right w:val="nil"/>
            </w:tcBorders>
          </w:tcPr>
          <w:p w14:paraId="55BA45F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single" w:sz="6" w:space="0" w:color="auto"/>
              <w:right w:val="nil"/>
            </w:tcBorders>
          </w:tcPr>
          <w:p w14:paraId="661A2C9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single" w:sz="6" w:space="0" w:color="auto"/>
              <w:right w:val="nil"/>
            </w:tcBorders>
          </w:tcPr>
          <w:p w14:paraId="152D178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single" w:sz="6" w:space="0" w:color="auto"/>
              <w:right w:val="nil"/>
            </w:tcBorders>
          </w:tcPr>
          <w:p w14:paraId="7DECC094"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417" w:type="dxa"/>
            <w:tcBorders>
              <w:top w:val="nil"/>
              <w:left w:val="nil"/>
              <w:bottom w:val="single" w:sz="6" w:space="0" w:color="auto"/>
              <w:right w:val="nil"/>
            </w:tcBorders>
            <w:shd w:val="solid" w:color="C0C0C0" w:fill="auto"/>
          </w:tcPr>
          <w:p w14:paraId="7EA4D77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 $ </w:t>
            </w:r>
          </w:p>
        </w:tc>
        <w:tc>
          <w:tcPr>
            <w:tcW w:w="1559" w:type="dxa"/>
            <w:tcBorders>
              <w:top w:val="nil"/>
              <w:left w:val="nil"/>
              <w:bottom w:val="single" w:sz="6" w:space="0" w:color="auto"/>
              <w:right w:val="nil"/>
            </w:tcBorders>
            <w:shd w:val="solid" w:color="C0C0C0" w:fill="auto"/>
          </w:tcPr>
          <w:p w14:paraId="14EBBBA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 $ </w:t>
            </w:r>
          </w:p>
        </w:tc>
      </w:tr>
      <w:tr w:rsidR="000251CF" w:rsidRPr="000251CF" w14:paraId="4213923D" w14:textId="77777777" w:rsidTr="0088213C">
        <w:trPr>
          <w:trHeight w:val="142"/>
        </w:trPr>
        <w:tc>
          <w:tcPr>
            <w:tcW w:w="3137" w:type="dxa"/>
            <w:gridSpan w:val="2"/>
            <w:tcBorders>
              <w:top w:val="single" w:sz="6" w:space="0" w:color="auto"/>
              <w:left w:val="nil"/>
              <w:bottom w:val="nil"/>
              <w:right w:val="nil"/>
            </w:tcBorders>
          </w:tcPr>
          <w:p w14:paraId="7D92EE5F"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Right of Use assets - Buildings</w:t>
            </w:r>
          </w:p>
        </w:tc>
        <w:tc>
          <w:tcPr>
            <w:tcW w:w="1058" w:type="dxa"/>
            <w:tcBorders>
              <w:top w:val="single" w:sz="6" w:space="0" w:color="auto"/>
              <w:left w:val="nil"/>
              <w:bottom w:val="nil"/>
              <w:right w:val="nil"/>
            </w:tcBorders>
          </w:tcPr>
          <w:p w14:paraId="08CFB59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single" w:sz="6" w:space="0" w:color="auto"/>
              <w:left w:val="nil"/>
              <w:bottom w:val="nil"/>
              <w:right w:val="nil"/>
            </w:tcBorders>
          </w:tcPr>
          <w:p w14:paraId="237523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4" w:type="dxa"/>
            <w:tcBorders>
              <w:top w:val="single" w:sz="6" w:space="0" w:color="auto"/>
              <w:left w:val="nil"/>
              <w:bottom w:val="nil"/>
              <w:right w:val="nil"/>
            </w:tcBorders>
          </w:tcPr>
          <w:p w14:paraId="5FD89146"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417" w:type="dxa"/>
            <w:tcBorders>
              <w:top w:val="single" w:sz="6" w:space="0" w:color="auto"/>
              <w:left w:val="nil"/>
              <w:bottom w:val="nil"/>
              <w:right w:val="nil"/>
            </w:tcBorders>
          </w:tcPr>
          <w:p w14:paraId="124A02C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single" w:sz="6" w:space="0" w:color="auto"/>
              <w:left w:val="nil"/>
              <w:bottom w:val="nil"/>
              <w:right w:val="nil"/>
            </w:tcBorders>
          </w:tcPr>
          <w:p w14:paraId="3C591F5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7B8F94F4" w14:textId="77777777" w:rsidTr="0088213C">
        <w:trPr>
          <w:trHeight w:val="142"/>
        </w:trPr>
        <w:tc>
          <w:tcPr>
            <w:tcW w:w="2157" w:type="dxa"/>
            <w:tcBorders>
              <w:top w:val="nil"/>
              <w:left w:val="nil"/>
              <w:bottom w:val="nil"/>
              <w:right w:val="nil"/>
            </w:tcBorders>
          </w:tcPr>
          <w:p w14:paraId="03DDF4E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7508BAA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6AED5A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2EBF800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03A00F6D"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417" w:type="dxa"/>
            <w:tcBorders>
              <w:top w:val="nil"/>
              <w:left w:val="nil"/>
              <w:bottom w:val="nil"/>
              <w:right w:val="nil"/>
            </w:tcBorders>
          </w:tcPr>
          <w:p w14:paraId="2E7C6B8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7635732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2A9059B0" w14:textId="77777777" w:rsidTr="0088213C">
        <w:trPr>
          <w:trHeight w:val="142"/>
        </w:trPr>
        <w:tc>
          <w:tcPr>
            <w:tcW w:w="3137" w:type="dxa"/>
            <w:gridSpan w:val="2"/>
            <w:tcBorders>
              <w:top w:val="nil"/>
              <w:left w:val="nil"/>
              <w:bottom w:val="nil"/>
              <w:right w:val="nil"/>
            </w:tcBorders>
          </w:tcPr>
          <w:p w14:paraId="4E52432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 xml:space="preserve">Opening balance </w:t>
            </w:r>
            <w:proofErr w:type="gramStart"/>
            <w:r w:rsidRPr="000251CF">
              <w:rPr>
                <w:rFonts w:ascii="Tahoma" w:eastAsia="Times New Roman" w:hAnsi="Tahoma" w:cs="Tahoma"/>
                <w:color w:val="000000"/>
                <w:sz w:val="16"/>
                <w:szCs w:val="16"/>
              </w:rPr>
              <w:t>at</w:t>
            </w:r>
            <w:proofErr w:type="gramEnd"/>
            <w:r w:rsidRPr="000251CF">
              <w:rPr>
                <w:rFonts w:ascii="Tahoma" w:eastAsia="Times New Roman" w:hAnsi="Tahoma" w:cs="Tahoma"/>
                <w:color w:val="000000"/>
                <w:sz w:val="16"/>
                <w:szCs w:val="16"/>
              </w:rPr>
              <w:t xml:space="preserve"> 1 July</w:t>
            </w:r>
          </w:p>
        </w:tc>
        <w:tc>
          <w:tcPr>
            <w:tcW w:w="1058" w:type="dxa"/>
            <w:tcBorders>
              <w:top w:val="nil"/>
              <w:left w:val="nil"/>
              <w:bottom w:val="nil"/>
              <w:right w:val="nil"/>
            </w:tcBorders>
          </w:tcPr>
          <w:p w14:paraId="44E752B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nil"/>
              <w:left w:val="nil"/>
              <w:bottom w:val="nil"/>
              <w:right w:val="nil"/>
            </w:tcBorders>
          </w:tcPr>
          <w:p w14:paraId="795DE42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844" w:type="dxa"/>
            <w:tcBorders>
              <w:top w:val="nil"/>
              <w:left w:val="nil"/>
              <w:bottom w:val="nil"/>
              <w:right w:val="nil"/>
            </w:tcBorders>
          </w:tcPr>
          <w:p w14:paraId="22061DD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5FB4403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3,614,579</w:t>
            </w:r>
          </w:p>
        </w:tc>
        <w:tc>
          <w:tcPr>
            <w:tcW w:w="1559" w:type="dxa"/>
            <w:tcBorders>
              <w:top w:val="nil"/>
              <w:left w:val="nil"/>
              <w:bottom w:val="nil"/>
              <w:right w:val="nil"/>
            </w:tcBorders>
          </w:tcPr>
          <w:p w14:paraId="21112A4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5,110,271</w:t>
            </w:r>
          </w:p>
        </w:tc>
      </w:tr>
      <w:tr w:rsidR="000251CF" w:rsidRPr="000251CF" w14:paraId="60C0378E" w14:textId="77777777" w:rsidTr="0088213C">
        <w:trPr>
          <w:trHeight w:val="142"/>
        </w:trPr>
        <w:tc>
          <w:tcPr>
            <w:tcW w:w="2157" w:type="dxa"/>
            <w:tcBorders>
              <w:top w:val="nil"/>
              <w:left w:val="nil"/>
              <w:bottom w:val="nil"/>
              <w:right w:val="nil"/>
            </w:tcBorders>
          </w:tcPr>
          <w:p w14:paraId="7ECD71A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Depreciation charge</w:t>
            </w:r>
          </w:p>
        </w:tc>
        <w:tc>
          <w:tcPr>
            <w:tcW w:w="982" w:type="dxa"/>
            <w:tcBorders>
              <w:top w:val="nil"/>
              <w:left w:val="nil"/>
              <w:bottom w:val="nil"/>
              <w:right w:val="nil"/>
            </w:tcBorders>
          </w:tcPr>
          <w:p w14:paraId="2A8D0C4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58" w:type="dxa"/>
            <w:tcBorders>
              <w:top w:val="nil"/>
              <w:left w:val="nil"/>
              <w:bottom w:val="nil"/>
              <w:right w:val="nil"/>
            </w:tcBorders>
          </w:tcPr>
          <w:p w14:paraId="001CAAB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nil"/>
              <w:left w:val="nil"/>
              <w:bottom w:val="nil"/>
              <w:right w:val="nil"/>
            </w:tcBorders>
          </w:tcPr>
          <w:p w14:paraId="66CE7E7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842" w:type="dxa"/>
            <w:tcBorders>
              <w:top w:val="nil"/>
              <w:left w:val="nil"/>
              <w:bottom w:val="nil"/>
              <w:right w:val="nil"/>
            </w:tcBorders>
          </w:tcPr>
          <w:p w14:paraId="1AD71785"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48ADFB3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(1,495,692)</w:t>
            </w:r>
          </w:p>
        </w:tc>
        <w:tc>
          <w:tcPr>
            <w:tcW w:w="1559" w:type="dxa"/>
            <w:tcBorders>
              <w:top w:val="nil"/>
              <w:left w:val="nil"/>
              <w:bottom w:val="nil"/>
              <w:right w:val="nil"/>
            </w:tcBorders>
          </w:tcPr>
          <w:p w14:paraId="558B6C2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(1,495,692)</w:t>
            </w:r>
          </w:p>
        </w:tc>
      </w:tr>
      <w:tr w:rsidR="000251CF" w:rsidRPr="000251CF" w14:paraId="57E73556" w14:textId="77777777" w:rsidTr="0088213C">
        <w:trPr>
          <w:trHeight w:val="185"/>
        </w:trPr>
        <w:tc>
          <w:tcPr>
            <w:tcW w:w="2157" w:type="dxa"/>
            <w:tcBorders>
              <w:top w:val="nil"/>
              <w:left w:val="nil"/>
              <w:bottom w:val="nil"/>
              <w:right w:val="nil"/>
            </w:tcBorders>
          </w:tcPr>
          <w:p w14:paraId="49202F4F"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Closing balance 30 June</w:t>
            </w:r>
          </w:p>
        </w:tc>
        <w:tc>
          <w:tcPr>
            <w:tcW w:w="982" w:type="dxa"/>
            <w:tcBorders>
              <w:top w:val="nil"/>
              <w:left w:val="nil"/>
              <w:bottom w:val="nil"/>
              <w:right w:val="nil"/>
            </w:tcBorders>
          </w:tcPr>
          <w:p w14:paraId="72C3B2A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58AA93E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22F8E4E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41723F8B"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56FC983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2,118,887</w:t>
            </w:r>
          </w:p>
        </w:tc>
        <w:tc>
          <w:tcPr>
            <w:tcW w:w="1559" w:type="dxa"/>
            <w:tcBorders>
              <w:top w:val="nil"/>
              <w:left w:val="nil"/>
              <w:bottom w:val="nil"/>
              <w:right w:val="nil"/>
            </w:tcBorders>
          </w:tcPr>
          <w:p w14:paraId="3368D6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3,614,579</w:t>
            </w:r>
          </w:p>
        </w:tc>
      </w:tr>
      <w:tr w:rsidR="000251CF" w:rsidRPr="000251CF" w14:paraId="6224822F" w14:textId="77777777" w:rsidTr="0088213C">
        <w:trPr>
          <w:trHeight w:val="142"/>
        </w:trPr>
        <w:tc>
          <w:tcPr>
            <w:tcW w:w="2157" w:type="dxa"/>
            <w:tcBorders>
              <w:top w:val="nil"/>
              <w:left w:val="nil"/>
              <w:bottom w:val="nil"/>
              <w:right w:val="nil"/>
            </w:tcBorders>
          </w:tcPr>
          <w:p w14:paraId="5BF614E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0A8DF5D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031DB50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25B627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5823C863"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6FCB67E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695E4FB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15C5186A" w14:textId="77777777" w:rsidTr="0088213C">
        <w:trPr>
          <w:trHeight w:val="142"/>
        </w:trPr>
        <w:tc>
          <w:tcPr>
            <w:tcW w:w="2157" w:type="dxa"/>
            <w:tcBorders>
              <w:top w:val="nil"/>
              <w:left w:val="nil"/>
              <w:bottom w:val="nil"/>
              <w:right w:val="nil"/>
            </w:tcBorders>
          </w:tcPr>
          <w:p w14:paraId="2DA31E17"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Lease Liabilities</w:t>
            </w:r>
          </w:p>
        </w:tc>
        <w:tc>
          <w:tcPr>
            <w:tcW w:w="982" w:type="dxa"/>
            <w:tcBorders>
              <w:top w:val="nil"/>
              <w:left w:val="nil"/>
              <w:bottom w:val="nil"/>
              <w:right w:val="nil"/>
            </w:tcBorders>
          </w:tcPr>
          <w:p w14:paraId="65C62A1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7E4A07C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791A33F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7D4770C0"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417" w:type="dxa"/>
            <w:tcBorders>
              <w:top w:val="nil"/>
              <w:left w:val="nil"/>
              <w:bottom w:val="nil"/>
              <w:right w:val="nil"/>
            </w:tcBorders>
          </w:tcPr>
          <w:p w14:paraId="38BD6B9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55D6353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705D198A" w14:textId="77777777" w:rsidTr="0088213C">
        <w:trPr>
          <w:trHeight w:val="142"/>
        </w:trPr>
        <w:tc>
          <w:tcPr>
            <w:tcW w:w="2157" w:type="dxa"/>
            <w:tcBorders>
              <w:top w:val="nil"/>
              <w:left w:val="nil"/>
              <w:bottom w:val="nil"/>
              <w:right w:val="nil"/>
            </w:tcBorders>
          </w:tcPr>
          <w:p w14:paraId="4546574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368EFE2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26BA1E2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4D247AA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0B82AF3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i/>
                <w:iCs/>
                <w:color w:val="000000"/>
                <w:sz w:val="18"/>
                <w:szCs w:val="18"/>
              </w:rPr>
            </w:pPr>
          </w:p>
        </w:tc>
        <w:tc>
          <w:tcPr>
            <w:tcW w:w="1417" w:type="dxa"/>
            <w:tcBorders>
              <w:top w:val="nil"/>
              <w:left w:val="nil"/>
              <w:bottom w:val="nil"/>
              <w:right w:val="nil"/>
            </w:tcBorders>
          </w:tcPr>
          <w:p w14:paraId="2F879FB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0106790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4354DE38" w14:textId="77777777" w:rsidTr="0088213C">
        <w:trPr>
          <w:trHeight w:val="142"/>
        </w:trPr>
        <w:tc>
          <w:tcPr>
            <w:tcW w:w="2157" w:type="dxa"/>
            <w:tcBorders>
              <w:top w:val="nil"/>
              <w:left w:val="nil"/>
              <w:bottom w:val="nil"/>
              <w:right w:val="nil"/>
            </w:tcBorders>
          </w:tcPr>
          <w:p w14:paraId="3EA9BED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Current</w:t>
            </w:r>
          </w:p>
        </w:tc>
        <w:tc>
          <w:tcPr>
            <w:tcW w:w="982" w:type="dxa"/>
            <w:tcBorders>
              <w:top w:val="nil"/>
              <w:left w:val="nil"/>
              <w:bottom w:val="nil"/>
              <w:right w:val="nil"/>
            </w:tcBorders>
          </w:tcPr>
          <w:p w14:paraId="110B1F4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58" w:type="dxa"/>
            <w:tcBorders>
              <w:top w:val="nil"/>
              <w:left w:val="nil"/>
              <w:bottom w:val="nil"/>
              <w:right w:val="nil"/>
            </w:tcBorders>
          </w:tcPr>
          <w:p w14:paraId="72BC23E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nil"/>
              <w:left w:val="nil"/>
              <w:bottom w:val="nil"/>
              <w:right w:val="nil"/>
            </w:tcBorders>
          </w:tcPr>
          <w:p w14:paraId="36BA8D2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842" w:type="dxa"/>
            <w:tcBorders>
              <w:top w:val="nil"/>
              <w:left w:val="nil"/>
              <w:bottom w:val="nil"/>
              <w:right w:val="nil"/>
            </w:tcBorders>
          </w:tcPr>
          <w:p w14:paraId="2DC67746"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31DA8B4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2,339,190</w:t>
            </w:r>
          </w:p>
        </w:tc>
        <w:tc>
          <w:tcPr>
            <w:tcW w:w="1559" w:type="dxa"/>
            <w:tcBorders>
              <w:top w:val="nil"/>
              <w:left w:val="nil"/>
              <w:bottom w:val="nil"/>
              <w:right w:val="nil"/>
            </w:tcBorders>
          </w:tcPr>
          <w:p w14:paraId="281EDEC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2,197,690</w:t>
            </w:r>
          </w:p>
        </w:tc>
      </w:tr>
      <w:tr w:rsidR="000251CF" w:rsidRPr="000251CF" w14:paraId="36717291" w14:textId="77777777" w:rsidTr="0088213C">
        <w:trPr>
          <w:trHeight w:val="142"/>
        </w:trPr>
        <w:tc>
          <w:tcPr>
            <w:tcW w:w="2157" w:type="dxa"/>
            <w:tcBorders>
              <w:top w:val="nil"/>
              <w:left w:val="nil"/>
              <w:bottom w:val="nil"/>
              <w:right w:val="nil"/>
            </w:tcBorders>
          </w:tcPr>
          <w:p w14:paraId="29DDDC18"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Non-current</w:t>
            </w:r>
          </w:p>
        </w:tc>
        <w:tc>
          <w:tcPr>
            <w:tcW w:w="982" w:type="dxa"/>
            <w:tcBorders>
              <w:top w:val="nil"/>
              <w:left w:val="nil"/>
              <w:bottom w:val="nil"/>
              <w:right w:val="nil"/>
            </w:tcBorders>
          </w:tcPr>
          <w:p w14:paraId="3F513EB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58" w:type="dxa"/>
            <w:tcBorders>
              <w:top w:val="nil"/>
              <w:left w:val="nil"/>
              <w:bottom w:val="nil"/>
              <w:right w:val="nil"/>
            </w:tcBorders>
          </w:tcPr>
          <w:p w14:paraId="2ADFBC9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nil"/>
              <w:left w:val="nil"/>
              <w:bottom w:val="nil"/>
              <w:right w:val="nil"/>
            </w:tcBorders>
          </w:tcPr>
          <w:p w14:paraId="645292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842" w:type="dxa"/>
            <w:tcBorders>
              <w:top w:val="nil"/>
              <w:left w:val="nil"/>
              <w:bottom w:val="nil"/>
              <w:right w:val="nil"/>
            </w:tcBorders>
          </w:tcPr>
          <w:p w14:paraId="4ECFA63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0F287EA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1,005,576</w:t>
            </w:r>
          </w:p>
        </w:tc>
        <w:tc>
          <w:tcPr>
            <w:tcW w:w="1559" w:type="dxa"/>
            <w:tcBorders>
              <w:top w:val="nil"/>
              <w:left w:val="nil"/>
              <w:bottom w:val="nil"/>
              <w:right w:val="nil"/>
            </w:tcBorders>
          </w:tcPr>
          <w:p w14:paraId="1F8E702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3,344,766</w:t>
            </w:r>
          </w:p>
        </w:tc>
      </w:tr>
      <w:tr w:rsidR="000251CF" w:rsidRPr="000251CF" w14:paraId="2EEF7901" w14:textId="77777777" w:rsidTr="0088213C">
        <w:trPr>
          <w:trHeight w:val="185"/>
        </w:trPr>
        <w:tc>
          <w:tcPr>
            <w:tcW w:w="2157" w:type="dxa"/>
            <w:tcBorders>
              <w:top w:val="nil"/>
              <w:left w:val="nil"/>
              <w:bottom w:val="nil"/>
              <w:right w:val="nil"/>
            </w:tcBorders>
          </w:tcPr>
          <w:p w14:paraId="3944FBD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982" w:type="dxa"/>
            <w:tcBorders>
              <w:top w:val="nil"/>
              <w:left w:val="nil"/>
              <w:bottom w:val="nil"/>
              <w:right w:val="nil"/>
            </w:tcBorders>
          </w:tcPr>
          <w:p w14:paraId="267D644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337CF27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5B6E0C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27F0EB2E"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607B1C9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3,344,766</w:t>
            </w:r>
          </w:p>
        </w:tc>
        <w:tc>
          <w:tcPr>
            <w:tcW w:w="1559" w:type="dxa"/>
            <w:tcBorders>
              <w:top w:val="nil"/>
              <w:left w:val="nil"/>
              <w:bottom w:val="nil"/>
              <w:right w:val="nil"/>
            </w:tcBorders>
          </w:tcPr>
          <w:p w14:paraId="6E041D9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5,542,456</w:t>
            </w:r>
          </w:p>
        </w:tc>
      </w:tr>
      <w:tr w:rsidR="000251CF" w:rsidRPr="000251CF" w14:paraId="254BBB97" w14:textId="77777777" w:rsidTr="0088213C">
        <w:trPr>
          <w:trHeight w:val="142"/>
        </w:trPr>
        <w:tc>
          <w:tcPr>
            <w:tcW w:w="2157" w:type="dxa"/>
            <w:tcBorders>
              <w:top w:val="nil"/>
              <w:left w:val="nil"/>
              <w:bottom w:val="nil"/>
              <w:right w:val="nil"/>
            </w:tcBorders>
          </w:tcPr>
          <w:p w14:paraId="3401E4B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47B03A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4EAE76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160EB90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4DDC54F9"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18B4A6B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656D185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08C84289" w14:textId="77777777" w:rsidTr="0088213C">
        <w:trPr>
          <w:trHeight w:val="151"/>
        </w:trPr>
        <w:tc>
          <w:tcPr>
            <w:tcW w:w="4195" w:type="dxa"/>
            <w:gridSpan w:val="3"/>
            <w:tcBorders>
              <w:top w:val="nil"/>
              <w:left w:val="nil"/>
              <w:bottom w:val="nil"/>
              <w:right w:val="nil"/>
            </w:tcBorders>
          </w:tcPr>
          <w:p w14:paraId="65685E9A"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Amounts recognised in profit or loss</w:t>
            </w:r>
          </w:p>
        </w:tc>
        <w:tc>
          <w:tcPr>
            <w:tcW w:w="1087" w:type="dxa"/>
            <w:tcBorders>
              <w:top w:val="nil"/>
              <w:left w:val="nil"/>
              <w:bottom w:val="nil"/>
              <w:right w:val="nil"/>
            </w:tcBorders>
          </w:tcPr>
          <w:p w14:paraId="7002367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4" w:type="dxa"/>
            <w:tcBorders>
              <w:top w:val="nil"/>
              <w:left w:val="nil"/>
              <w:bottom w:val="nil"/>
              <w:right w:val="nil"/>
            </w:tcBorders>
          </w:tcPr>
          <w:p w14:paraId="1FF0BBD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7161FE2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575F944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7F0980E1" w14:textId="77777777" w:rsidTr="0088213C">
        <w:trPr>
          <w:trHeight w:val="142"/>
        </w:trPr>
        <w:tc>
          <w:tcPr>
            <w:tcW w:w="2157" w:type="dxa"/>
            <w:tcBorders>
              <w:top w:val="nil"/>
              <w:left w:val="nil"/>
              <w:bottom w:val="nil"/>
              <w:right w:val="nil"/>
            </w:tcBorders>
          </w:tcPr>
          <w:p w14:paraId="05AD33F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60AFA5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4D76D63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63042A6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31DAD2D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32D812E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265AA8C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559B84A7" w14:textId="77777777" w:rsidTr="0088213C">
        <w:trPr>
          <w:trHeight w:val="151"/>
        </w:trPr>
        <w:tc>
          <w:tcPr>
            <w:tcW w:w="4195" w:type="dxa"/>
            <w:gridSpan w:val="3"/>
            <w:tcBorders>
              <w:top w:val="nil"/>
              <w:left w:val="nil"/>
              <w:bottom w:val="nil"/>
              <w:right w:val="nil"/>
            </w:tcBorders>
          </w:tcPr>
          <w:p w14:paraId="2AA2267C"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Interest expense on lease liabilities</w:t>
            </w:r>
          </w:p>
        </w:tc>
        <w:tc>
          <w:tcPr>
            <w:tcW w:w="1087" w:type="dxa"/>
            <w:tcBorders>
              <w:top w:val="nil"/>
              <w:left w:val="nil"/>
              <w:bottom w:val="nil"/>
              <w:right w:val="nil"/>
            </w:tcBorders>
          </w:tcPr>
          <w:p w14:paraId="29AB288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4" w:type="dxa"/>
            <w:tcBorders>
              <w:top w:val="nil"/>
              <w:left w:val="nil"/>
              <w:bottom w:val="nil"/>
              <w:right w:val="nil"/>
            </w:tcBorders>
          </w:tcPr>
          <w:p w14:paraId="263DC55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2AC76FD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91,247</w:t>
            </w:r>
          </w:p>
        </w:tc>
        <w:tc>
          <w:tcPr>
            <w:tcW w:w="1559" w:type="dxa"/>
            <w:tcBorders>
              <w:top w:val="nil"/>
              <w:left w:val="nil"/>
              <w:bottom w:val="nil"/>
              <w:right w:val="nil"/>
            </w:tcBorders>
          </w:tcPr>
          <w:p w14:paraId="401A8CE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132,770</w:t>
            </w:r>
          </w:p>
        </w:tc>
      </w:tr>
      <w:tr w:rsidR="000251CF" w:rsidRPr="000251CF" w14:paraId="235CE2F0" w14:textId="77777777" w:rsidTr="0088213C">
        <w:trPr>
          <w:trHeight w:val="151"/>
        </w:trPr>
        <w:tc>
          <w:tcPr>
            <w:tcW w:w="3137" w:type="dxa"/>
            <w:gridSpan w:val="2"/>
            <w:tcBorders>
              <w:top w:val="nil"/>
              <w:left w:val="nil"/>
              <w:bottom w:val="nil"/>
              <w:right w:val="nil"/>
            </w:tcBorders>
          </w:tcPr>
          <w:p w14:paraId="4A3CF09B"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Depreciation on Right-of-Use assets</w:t>
            </w:r>
          </w:p>
        </w:tc>
        <w:tc>
          <w:tcPr>
            <w:tcW w:w="1058" w:type="dxa"/>
            <w:tcBorders>
              <w:top w:val="nil"/>
              <w:left w:val="nil"/>
              <w:bottom w:val="nil"/>
              <w:right w:val="nil"/>
            </w:tcBorders>
          </w:tcPr>
          <w:p w14:paraId="1EE740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289E7DF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4" w:type="dxa"/>
            <w:tcBorders>
              <w:top w:val="nil"/>
              <w:left w:val="nil"/>
              <w:bottom w:val="nil"/>
              <w:right w:val="nil"/>
            </w:tcBorders>
          </w:tcPr>
          <w:p w14:paraId="63526E2D"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6C59963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1,495,692</w:t>
            </w:r>
          </w:p>
        </w:tc>
        <w:tc>
          <w:tcPr>
            <w:tcW w:w="1559" w:type="dxa"/>
            <w:tcBorders>
              <w:top w:val="nil"/>
              <w:left w:val="nil"/>
              <w:bottom w:val="nil"/>
              <w:right w:val="nil"/>
            </w:tcBorders>
          </w:tcPr>
          <w:p w14:paraId="43E42B4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1,495,692</w:t>
            </w:r>
          </w:p>
        </w:tc>
      </w:tr>
      <w:tr w:rsidR="000251CF" w:rsidRPr="000251CF" w14:paraId="06A945FC" w14:textId="77777777" w:rsidTr="0088213C">
        <w:trPr>
          <w:trHeight w:val="142"/>
        </w:trPr>
        <w:tc>
          <w:tcPr>
            <w:tcW w:w="2157" w:type="dxa"/>
            <w:tcBorders>
              <w:top w:val="nil"/>
              <w:left w:val="nil"/>
              <w:bottom w:val="nil"/>
              <w:right w:val="nil"/>
            </w:tcBorders>
          </w:tcPr>
          <w:p w14:paraId="3D7AE81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2F27224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0B5A1EA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1B5612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2" w:type="dxa"/>
            <w:tcBorders>
              <w:top w:val="nil"/>
              <w:left w:val="nil"/>
              <w:bottom w:val="nil"/>
              <w:right w:val="nil"/>
            </w:tcBorders>
          </w:tcPr>
          <w:p w14:paraId="501D3105"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0AEE7D23"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7A4365E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615A937C" w14:textId="77777777" w:rsidTr="0088213C">
        <w:trPr>
          <w:trHeight w:val="151"/>
        </w:trPr>
        <w:tc>
          <w:tcPr>
            <w:tcW w:w="3137" w:type="dxa"/>
            <w:gridSpan w:val="2"/>
            <w:tcBorders>
              <w:top w:val="nil"/>
              <w:left w:val="nil"/>
              <w:bottom w:val="nil"/>
              <w:right w:val="nil"/>
            </w:tcBorders>
          </w:tcPr>
          <w:p w14:paraId="26EE79CA"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cash outflow for leases</w:t>
            </w:r>
          </w:p>
        </w:tc>
        <w:tc>
          <w:tcPr>
            <w:tcW w:w="1058" w:type="dxa"/>
            <w:tcBorders>
              <w:top w:val="nil"/>
              <w:left w:val="nil"/>
              <w:bottom w:val="nil"/>
              <w:right w:val="nil"/>
            </w:tcBorders>
          </w:tcPr>
          <w:p w14:paraId="25C2F86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43C1305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44" w:type="dxa"/>
            <w:tcBorders>
              <w:top w:val="nil"/>
              <w:left w:val="nil"/>
              <w:bottom w:val="nil"/>
              <w:right w:val="nil"/>
            </w:tcBorders>
          </w:tcPr>
          <w:p w14:paraId="65690D3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417" w:type="dxa"/>
            <w:tcBorders>
              <w:top w:val="nil"/>
              <w:left w:val="nil"/>
              <w:bottom w:val="nil"/>
              <w:right w:val="nil"/>
            </w:tcBorders>
          </w:tcPr>
          <w:p w14:paraId="0A2BED7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2,197,690</w:t>
            </w:r>
          </w:p>
        </w:tc>
        <w:tc>
          <w:tcPr>
            <w:tcW w:w="1559" w:type="dxa"/>
            <w:tcBorders>
              <w:top w:val="nil"/>
              <w:left w:val="nil"/>
              <w:bottom w:val="nil"/>
              <w:right w:val="nil"/>
            </w:tcBorders>
          </w:tcPr>
          <w:p w14:paraId="5242A25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2,062,854</w:t>
            </w:r>
          </w:p>
        </w:tc>
      </w:tr>
    </w:tbl>
    <w:p w14:paraId="6AD8D882" w14:textId="77777777" w:rsidR="000251CF" w:rsidRPr="000251CF" w:rsidRDefault="000251CF" w:rsidP="000251CF">
      <w:pPr>
        <w:spacing w:before="120" w:after="0" w:line="240" w:lineRule="auto"/>
        <w:rPr>
          <w:rFonts w:ascii="Calibri" w:eastAsia="Times New Roman" w:hAnsi="Calibri" w:cs="Times New Roman"/>
          <w:b/>
          <w:bCs/>
          <w:sz w:val="21"/>
          <w:szCs w:val="20"/>
        </w:rPr>
      </w:pPr>
      <w:r w:rsidRPr="000251CF">
        <w:rPr>
          <w:rFonts w:ascii="Calibri" w:eastAsia="Times New Roman" w:hAnsi="Calibri" w:cs="Times New Roman"/>
          <w:b/>
          <w:szCs w:val="20"/>
        </w:rPr>
        <w:t>Accounting Policy</w:t>
      </w:r>
      <w:r w:rsidRPr="000251CF">
        <w:rPr>
          <w:rFonts w:ascii="Calibri" w:eastAsia="Times New Roman" w:hAnsi="Calibri" w:cs="Times New Roman"/>
          <w:b/>
          <w:bCs/>
          <w:sz w:val="21"/>
          <w:szCs w:val="20"/>
        </w:rPr>
        <w:tab/>
      </w:r>
      <w:r w:rsidRPr="000251CF">
        <w:rPr>
          <w:rFonts w:ascii="Calibri" w:eastAsia="Times New Roman" w:hAnsi="Calibri" w:cs="Times New Roman"/>
          <w:b/>
          <w:bCs/>
          <w:sz w:val="21"/>
          <w:szCs w:val="20"/>
        </w:rPr>
        <w:tab/>
      </w:r>
      <w:r w:rsidRPr="000251CF">
        <w:rPr>
          <w:rFonts w:ascii="Calibri" w:eastAsia="Times New Roman" w:hAnsi="Calibri" w:cs="Times New Roman"/>
          <w:b/>
          <w:bCs/>
          <w:sz w:val="21"/>
          <w:szCs w:val="20"/>
        </w:rPr>
        <w:tab/>
      </w:r>
      <w:r w:rsidRPr="000251CF">
        <w:rPr>
          <w:rFonts w:ascii="Calibri" w:eastAsia="Times New Roman" w:hAnsi="Calibri" w:cs="Times New Roman"/>
          <w:b/>
          <w:bCs/>
          <w:sz w:val="21"/>
          <w:szCs w:val="20"/>
        </w:rPr>
        <w:tab/>
      </w:r>
      <w:r w:rsidRPr="000251CF">
        <w:rPr>
          <w:rFonts w:ascii="Calibri" w:eastAsia="Times New Roman" w:hAnsi="Calibri" w:cs="Times New Roman"/>
          <w:b/>
          <w:bCs/>
          <w:sz w:val="21"/>
          <w:szCs w:val="20"/>
        </w:rPr>
        <w:tab/>
      </w:r>
      <w:r w:rsidRPr="000251CF">
        <w:rPr>
          <w:rFonts w:ascii="Calibri" w:eastAsia="Times New Roman" w:hAnsi="Calibri" w:cs="Times New Roman"/>
          <w:b/>
          <w:bCs/>
          <w:sz w:val="21"/>
          <w:szCs w:val="20"/>
        </w:rPr>
        <w:tab/>
      </w:r>
    </w:p>
    <w:p w14:paraId="1BF6D29D" w14:textId="77777777" w:rsidR="000251CF" w:rsidRPr="000251CF" w:rsidRDefault="000251CF" w:rsidP="000251CF">
      <w:pPr>
        <w:spacing w:before="0" w:after="120"/>
        <w:rPr>
          <w:rFonts w:ascii="Calibri" w:eastAsia="Calibri" w:hAnsi="Calibri" w:cs="Times New Roman"/>
          <w:color w:val="363636"/>
        </w:rPr>
      </w:pPr>
      <w:r w:rsidRPr="000251CF">
        <w:rPr>
          <w:rFonts w:ascii="Calibri" w:eastAsia="Calibri" w:hAnsi="Calibri" w:cs="Times New Roman"/>
          <w:color w:val="363636"/>
        </w:rPr>
        <w:t xml:space="preserve">Right-of-use assets are measured at cost comprising the amount of the initial measurement of the lease liability, any lease payments made at or before the commencement date (less any lease incentives received), initial direct costs incurred and the initial estimate of restoration costs (where applicable). </w:t>
      </w:r>
      <w:proofErr w:type="gramStart"/>
      <w:r w:rsidRPr="000251CF">
        <w:rPr>
          <w:rFonts w:ascii="Calibri" w:eastAsia="Calibri" w:hAnsi="Calibri" w:cs="Times New Roman"/>
          <w:color w:val="363636"/>
        </w:rPr>
        <w:t>Subsequent to</w:t>
      </w:r>
      <w:proofErr w:type="gramEnd"/>
      <w:r w:rsidRPr="000251CF">
        <w:rPr>
          <w:rFonts w:ascii="Calibri" w:eastAsia="Calibri" w:hAnsi="Calibri" w:cs="Times New Roman"/>
          <w:color w:val="363636"/>
        </w:rPr>
        <w:t xml:space="preserve"> initial recognition, right-of-use assets are measured at cost.</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66FA8D5A" w14:textId="77777777" w:rsidR="000251CF" w:rsidRPr="000251CF" w:rsidRDefault="000251CF" w:rsidP="000251CF">
      <w:pPr>
        <w:spacing w:before="0" w:after="120"/>
        <w:rPr>
          <w:rFonts w:ascii="Calibri" w:eastAsia="Calibri" w:hAnsi="Calibri" w:cs="Times New Roman"/>
          <w:color w:val="363636"/>
        </w:rPr>
      </w:pPr>
      <w:r w:rsidRPr="000251CF">
        <w:rPr>
          <w:rFonts w:ascii="Calibri" w:eastAsia="Calibri" w:hAnsi="Calibri" w:cs="Times New Roman"/>
          <w:color w:val="363636"/>
        </w:rPr>
        <w:t>Lease liabilities are initially recognised at the present value of lease payments over the lease term that are not yet paid. The lease term includes any extension or renewal options that the QCA is reasonably certain to exercise. The future lease payments included in the calculation of the lease liability comprise:</w:t>
      </w:r>
      <w:r w:rsidRPr="000251CF">
        <w:rPr>
          <w:rFonts w:ascii="Calibri" w:eastAsia="Calibri" w:hAnsi="Calibri" w:cs="Times New Roman"/>
          <w:color w:val="363636"/>
        </w:rPr>
        <w:tab/>
      </w:r>
      <w:r w:rsidRPr="000251CF">
        <w:rPr>
          <w:rFonts w:ascii="Calibri" w:eastAsia="Calibri" w:hAnsi="Calibri" w:cs="Times New Roman"/>
          <w:color w:val="363636"/>
        </w:rPr>
        <w:tab/>
      </w:r>
    </w:p>
    <w:p w14:paraId="350D9801" w14:textId="77777777" w:rsidR="000251CF" w:rsidRPr="000251CF" w:rsidRDefault="000251CF" w:rsidP="000251CF">
      <w:pPr>
        <w:numPr>
          <w:ilvl w:val="0"/>
          <w:numId w:val="39"/>
        </w:numPr>
        <w:spacing w:before="12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fixed payments (less any lease incentives receivable),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658D1DD3"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variable lease payments that depend on an index or rate (initially measured using the index or rate as at the commencement date),</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71BE2215"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 xml:space="preserve">the </w:t>
      </w:r>
      <w:proofErr w:type="gramStart"/>
      <w:r w:rsidRPr="000251CF">
        <w:rPr>
          <w:rFonts w:ascii="Calibri" w:eastAsia="Times New Roman" w:hAnsi="Calibri" w:cs="Times New Roman"/>
          <w:szCs w:val="20"/>
        </w:rPr>
        <w:t>amount</w:t>
      </w:r>
      <w:proofErr w:type="gramEnd"/>
      <w:r w:rsidRPr="000251CF">
        <w:rPr>
          <w:rFonts w:ascii="Calibri" w:eastAsia="Times New Roman" w:hAnsi="Calibri" w:cs="Times New Roman"/>
          <w:szCs w:val="20"/>
        </w:rPr>
        <w:t xml:space="preserve"> of residual guarantees,</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62E7831"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the exercise price of a purchase option (where the QCA is reasonably certain to exercise the option); and</w:t>
      </w:r>
    </w:p>
    <w:p w14:paraId="5FC5AD51" w14:textId="77777777" w:rsidR="000251CF" w:rsidRPr="000251CF" w:rsidRDefault="000251CF" w:rsidP="000251CF">
      <w:pPr>
        <w:numPr>
          <w:ilvl w:val="0"/>
          <w:numId w:val="39"/>
        </w:numPr>
        <w:spacing w:before="0" w:after="120" w:line="264" w:lineRule="auto"/>
        <w:ind w:left="284" w:hanging="284"/>
        <w:rPr>
          <w:rFonts w:ascii="Calibri" w:eastAsia="Times New Roman" w:hAnsi="Calibri" w:cs="Times New Roman"/>
          <w:sz w:val="21"/>
          <w:szCs w:val="20"/>
        </w:rPr>
      </w:pPr>
      <w:r w:rsidRPr="000251CF">
        <w:rPr>
          <w:rFonts w:ascii="Calibri" w:eastAsia="Times New Roman" w:hAnsi="Calibri" w:cs="Times New Roman"/>
          <w:szCs w:val="20"/>
        </w:rPr>
        <w:t>payments for termination penalties (if the lease term reflects the early termination).</w:t>
      </w:r>
      <w:r w:rsidRPr="000251CF">
        <w:rPr>
          <w:rFonts w:ascii="Calibri" w:eastAsia="Times New Roman" w:hAnsi="Calibri" w:cs="Times New Roman"/>
          <w:szCs w:val="20"/>
        </w:rPr>
        <w:tab/>
      </w:r>
    </w:p>
    <w:p w14:paraId="3D96DB23" w14:textId="77777777" w:rsidR="000251CF" w:rsidRPr="000251CF" w:rsidRDefault="000251CF" w:rsidP="000251CF">
      <w:pPr>
        <w:spacing w:before="0" w:after="120"/>
        <w:rPr>
          <w:rFonts w:ascii="Calibri" w:eastAsia="Calibri" w:hAnsi="Calibri" w:cs="Times New Roman"/>
          <w:color w:val="363636"/>
        </w:rPr>
      </w:pPr>
      <w:r w:rsidRPr="000251CF">
        <w:rPr>
          <w:rFonts w:ascii="Calibri" w:eastAsia="Calibri" w:hAnsi="Calibri" w:cs="Times New Roman"/>
          <w:color w:val="363636"/>
        </w:rPr>
        <w:t>The QCA's incremental borrowing rate is used when measuring the lease liability for the lease of office premises as the interest rate implicit in the lease cannot be readily determined. The incremental borrowing rate used is the fixed loan rate published by the Queensland Treasury Corporation that corresponds to the lease's commencement date and lease term.</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5F6197F8" w14:textId="77777777" w:rsidR="000251CF" w:rsidRPr="000251CF" w:rsidRDefault="000251CF" w:rsidP="000251CF">
      <w:pPr>
        <w:spacing w:before="0" w:after="120"/>
        <w:rPr>
          <w:rFonts w:ascii="Calibri" w:eastAsia="Calibri" w:hAnsi="Calibri" w:cs="Times New Roman"/>
          <w:color w:val="363636"/>
        </w:rPr>
      </w:pPr>
      <w:r w:rsidRPr="000251CF">
        <w:rPr>
          <w:rFonts w:ascii="Calibri" w:eastAsia="Calibri" w:hAnsi="Calibri" w:cs="Times New Roman"/>
          <w:color w:val="363636"/>
        </w:rPr>
        <w:t>Lease instalments paid will be split between interest expense and a reduction in the Lease Liability. The Right of Use Asset is amortised over the term of the lease.</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3E0FDF28" w14:textId="77777777" w:rsidR="000251CF" w:rsidRPr="000251CF" w:rsidRDefault="000251CF" w:rsidP="000251CF">
      <w:pPr>
        <w:spacing w:before="0" w:after="120"/>
        <w:rPr>
          <w:rFonts w:ascii="Calibri" w:eastAsia="Calibri" w:hAnsi="Calibri" w:cs="Times New Roman"/>
          <w:color w:val="363636"/>
        </w:rPr>
      </w:pPr>
      <w:r w:rsidRPr="000251CF">
        <w:rPr>
          <w:rFonts w:ascii="Calibri" w:eastAsia="Calibri" w:hAnsi="Calibri" w:cs="Times New Roman"/>
          <w:color w:val="363636"/>
        </w:rPr>
        <w:t>The offices occupied by the QCA are subject to a lease which expires on 22 November 2022. The lease is calculated with annual increases of 4.25%. There are no options beyond the expiry date.</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01F0E81D" w14:textId="77777777" w:rsidR="000251CF" w:rsidRPr="000251CF" w:rsidRDefault="000251CF" w:rsidP="000251CF">
      <w:pPr>
        <w:spacing w:before="0" w:after="120"/>
        <w:rPr>
          <w:rFonts w:ascii="Calibri" w:eastAsia="Calibri" w:hAnsi="Calibri" w:cs="Times New Roman"/>
          <w:color w:val="363636"/>
        </w:rPr>
      </w:pPr>
      <w:r w:rsidRPr="000251CF">
        <w:rPr>
          <w:rFonts w:ascii="Calibri" w:eastAsia="Calibri" w:hAnsi="Calibri" w:cs="Times New Roman"/>
          <w:color w:val="363636"/>
        </w:rPr>
        <w:t xml:space="preserve">A bank guarantee in favour of the Landlord for $970,068 being equivalent to six </w:t>
      </w:r>
      <w:proofErr w:type="spellStart"/>
      <w:r w:rsidRPr="000251CF">
        <w:rPr>
          <w:rFonts w:ascii="Calibri" w:eastAsia="Calibri" w:hAnsi="Calibri" w:cs="Times New Roman"/>
          <w:color w:val="363636"/>
        </w:rPr>
        <w:t>months</w:t>
      </w:r>
      <w:proofErr w:type="spellEnd"/>
      <w:r w:rsidRPr="000251CF">
        <w:rPr>
          <w:rFonts w:ascii="Calibri" w:eastAsia="Calibri" w:hAnsi="Calibri" w:cs="Times New Roman"/>
          <w:color w:val="363636"/>
        </w:rPr>
        <w:t xml:space="preserve"> rent has been issued. This is enforceable should the QCA default on its lease commitments.</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12054734" w14:textId="77777777" w:rsidR="000251CF" w:rsidRPr="000251CF" w:rsidRDefault="000251CF" w:rsidP="000251CF">
      <w:pPr>
        <w:spacing w:before="0"/>
        <w:ind w:left="284" w:hanging="284"/>
        <w:rPr>
          <w:rFonts w:ascii="Calibri" w:eastAsia="Calibri" w:hAnsi="Calibri" w:cs="Times New Roman"/>
          <w:b/>
          <w:color w:val="363636"/>
        </w:rPr>
      </w:pPr>
    </w:p>
    <w:p w14:paraId="6F893EE0" w14:textId="77777777" w:rsidR="000251CF" w:rsidRPr="000251CF" w:rsidRDefault="000251CF" w:rsidP="000251CF">
      <w:pPr>
        <w:spacing w:before="0" w:after="0" w:line="240" w:lineRule="auto"/>
        <w:rPr>
          <w:rFonts w:ascii="Calibri" w:eastAsia="Calibri" w:hAnsi="Calibri" w:cs="Times New Roman"/>
          <w:b/>
          <w:color w:val="363636"/>
        </w:rPr>
      </w:pPr>
      <w:r w:rsidRPr="000251CF">
        <w:rPr>
          <w:rFonts w:ascii="Calibri" w:eastAsia="Times New Roman" w:hAnsi="Calibri" w:cs="Times New Roman"/>
          <w:b/>
          <w:sz w:val="21"/>
          <w:szCs w:val="20"/>
        </w:rPr>
        <w:br w:type="page"/>
      </w:r>
    </w:p>
    <w:p w14:paraId="7F3E15ED" w14:textId="77777777" w:rsidR="000251CF" w:rsidRPr="000251CF" w:rsidRDefault="000251CF" w:rsidP="000251CF">
      <w:pPr>
        <w:spacing w:before="0"/>
        <w:ind w:left="284" w:hanging="284"/>
        <w:rPr>
          <w:rFonts w:ascii="Calibri" w:eastAsia="Calibri" w:hAnsi="Calibri" w:cs="Times New Roman"/>
          <w:b/>
          <w:color w:val="363636"/>
        </w:rPr>
      </w:pPr>
      <w:r w:rsidRPr="000251CF">
        <w:rPr>
          <w:rFonts w:ascii="Calibri" w:eastAsia="Calibri" w:hAnsi="Calibri" w:cs="Times New Roman"/>
          <w:b/>
          <w:color w:val="363636"/>
        </w:rPr>
        <w:lastRenderedPageBreak/>
        <w:t>Note 15:</w:t>
      </w:r>
    </w:p>
    <w:tbl>
      <w:tblPr>
        <w:tblW w:w="9102" w:type="dxa"/>
        <w:tblInd w:w="-30" w:type="dxa"/>
        <w:tblLayout w:type="fixed"/>
        <w:tblLook w:val="0000" w:firstRow="0" w:lastRow="0" w:firstColumn="0" w:lastColumn="0" w:noHBand="0" w:noVBand="0"/>
      </w:tblPr>
      <w:tblGrid>
        <w:gridCol w:w="2412"/>
        <w:gridCol w:w="860"/>
        <w:gridCol w:w="924"/>
        <w:gridCol w:w="948"/>
        <w:gridCol w:w="860"/>
        <w:gridCol w:w="1549"/>
        <w:gridCol w:w="1549"/>
      </w:tblGrid>
      <w:tr w:rsidR="000251CF" w:rsidRPr="000251CF" w14:paraId="0125F9F7" w14:textId="77777777" w:rsidTr="0041176B">
        <w:trPr>
          <w:trHeight w:val="142"/>
        </w:trPr>
        <w:tc>
          <w:tcPr>
            <w:tcW w:w="2524" w:type="dxa"/>
            <w:tcBorders>
              <w:top w:val="nil"/>
              <w:left w:val="nil"/>
              <w:right w:val="nil"/>
            </w:tcBorders>
          </w:tcPr>
          <w:p w14:paraId="0BDC1D5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Payables</w:t>
            </w:r>
          </w:p>
        </w:tc>
        <w:tc>
          <w:tcPr>
            <w:tcW w:w="892" w:type="dxa"/>
            <w:tcBorders>
              <w:top w:val="nil"/>
              <w:left w:val="nil"/>
              <w:right w:val="nil"/>
            </w:tcBorders>
          </w:tcPr>
          <w:p w14:paraId="165F1A6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59" w:type="dxa"/>
            <w:tcBorders>
              <w:top w:val="nil"/>
              <w:left w:val="nil"/>
              <w:right w:val="nil"/>
            </w:tcBorders>
          </w:tcPr>
          <w:p w14:paraId="5985B6C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5" w:type="dxa"/>
            <w:tcBorders>
              <w:top w:val="nil"/>
              <w:left w:val="nil"/>
              <w:right w:val="nil"/>
            </w:tcBorders>
          </w:tcPr>
          <w:p w14:paraId="79C2528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92" w:type="dxa"/>
            <w:tcBorders>
              <w:top w:val="nil"/>
              <w:left w:val="nil"/>
              <w:right w:val="nil"/>
            </w:tcBorders>
          </w:tcPr>
          <w:p w14:paraId="2EE3E0A7"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nil"/>
              <w:left w:val="nil"/>
              <w:right w:val="nil"/>
            </w:tcBorders>
            <w:shd w:val="solid" w:color="C0C0C0" w:fill="auto"/>
          </w:tcPr>
          <w:p w14:paraId="772E2C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616" w:type="dxa"/>
            <w:tcBorders>
              <w:top w:val="nil"/>
              <w:left w:val="nil"/>
              <w:right w:val="nil"/>
            </w:tcBorders>
            <w:shd w:val="solid" w:color="C0C0C0" w:fill="auto"/>
          </w:tcPr>
          <w:p w14:paraId="4176AF0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4FC46E5F" w14:textId="77777777" w:rsidTr="0041176B">
        <w:trPr>
          <w:trHeight w:val="142"/>
        </w:trPr>
        <w:tc>
          <w:tcPr>
            <w:tcW w:w="2524" w:type="dxa"/>
            <w:tcBorders>
              <w:top w:val="nil"/>
              <w:left w:val="nil"/>
              <w:bottom w:val="single" w:sz="6" w:space="0" w:color="auto"/>
              <w:right w:val="nil"/>
            </w:tcBorders>
          </w:tcPr>
          <w:p w14:paraId="28F3185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892" w:type="dxa"/>
            <w:tcBorders>
              <w:top w:val="nil"/>
              <w:left w:val="nil"/>
              <w:bottom w:val="single" w:sz="6" w:space="0" w:color="auto"/>
              <w:right w:val="nil"/>
            </w:tcBorders>
          </w:tcPr>
          <w:p w14:paraId="10FA013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59" w:type="dxa"/>
            <w:tcBorders>
              <w:top w:val="nil"/>
              <w:left w:val="nil"/>
              <w:bottom w:val="single" w:sz="6" w:space="0" w:color="auto"/>
              <w:right w:val="nil"/>
            </w:tcBorders>
          </w:tcPr>
          <w:p w14:paraId="620CD1F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5" w:type="dxa"/>
            <w:tcBorders>
              <w:top w:val="nil"/>
              <w:left w:val="nil"/>
              <w:bottom w:val="single" w:sz="6" w:space="0" w:color="auto"/>
              <w:right w:val="nil"/>
            </w:tcBorders>
          </w:tcPr>
          <w:p w14:paraId="20DFB70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92" w:type="dxa"/>
            <w:tcBorders>
              <w:top w:val="nil"/>
              <w:left w:val="nil"/>
              <w:bottom w:val="single" w:sz="6" w:space="0" w:color="auto"/>
              <w:right w:val="nil"/>
            </w:tcBorders>
          </w:tcPr>
          <w:p w14:paraId="417E4670"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nil"/>
              <w:left w:val="nil"/>
              <w:bottom w:val="single" w:sz="6" w:space="0" w:color="auto"/>
              <w:right w:val="nil"/>
            </w:tcBorders>
            <w:shd w:val="solid" w:color="C0C0C0" w:fill="auto"/>
          </w:tcPr>
          <w:p w14:paraId="246112E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616" w:type="dxa"/>
            <w:tcBorders>
              <w:top w:val="nil"/>
              <w:left w:val="nil"/>
              <w:bottom w:val="single" w:sz="6" w:space="0" w:color="auto"/>
              <w:right w:val="nil"/>
            </w:tcBorders>
            <w:shd w:val="solid" w:color="C0C0C0" w:fill="auto"/>
          </w:tcPr>
          <w:p w14:paraId="3B1FD89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22B65768" w14:textId="77777777" w:rsidTr="0041176B">
        <w:trPr>
          <w:trHeight w:val="142"/>
        </w:trPr>
        <w:tc>
          <w:tcPr>
            <w:tcW w:w="2524" w:type="dxa"/>
            <w:tcBorders>
              <w:top w:val="single" w:sz="6" w:space="0" w:color="auto"/>
              <w:left w:val="nil"/>
              <w:bottom w:val="nil"/>
              <w:right w:val="nil"/>
            </w:tcBorders>
          </w:tcPr>
          <w:p w14:paraId="3DCB0CBA"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Accrued Expenses</w:t>
            </w:r>
          </w:p>
        </w:tc>
        <w:tc>
          <w:tcPr>
            <w:tcW w:w="892" w:type="dxa"/>
            <w:tcBorders>
              <w:top w:val="single" w:sz="6" w:space="0" w:color="auto"/>
              <w:left w:val="nil"/>
              <w:bottom w:val="nil"/>
              <w:right w:val="nil"/>
            </w:tcBorders>
          </w:tcPr>
          <w:p w14:paraId="31B409B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59" w:type="dxa"/>
            <w:tcBorders>
              <w:top w:val="single" w:sz="6" w:space="0" w:color="auto"/>
              <w:left w:val="nil"/>
              <w:bottom w:val="nil"/>
              <w:right w:val="nil"/>
            </w:tcBorders>
          </w:tcPr>
          <w:p w14:paraId="62E5C2F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5" w:type="dxa"/>
            <w:tcBorders>
              <w:top w:val="single" w:sz="6" w:space="0" w:color="auto"/>
              <w:left w:val="nil"/>
              <w:bottom w:val="nil"/>
              <w:right w:val="nil"/>
            </w:tcBorders>
          </w:tcPr>
          <w:p w14:paraId="23765A6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892" w:type="dxa"/>
            <w:tcBorders>
              <w:top w:val="single" w:sz="6" w:space="0" w:color="auto"/>
              <w:left w:val="nil"/>
              <w:bottom w:val="nil"/>
              <w:right w:val="nil"/>
            </w:tcBorders>
          </w:tcPr>
          <w:p w14:paraId="0E75CF06"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single" w:sz="6" w:space="0" w:color="auto"/>
              <w:left w:val="nil"/>
              <w:bottom w:val="nil"/>
              <w:right w:val="nil"/>
            </w:tcBorders>
          </w:tcPr>
          <w:p w14:paraId="5893CAD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146,144</w:t>
            </w:r>
          </w:p>
        </w:tc>
        <w:tc>
          <w:tcPr>
            <w:tcW w:w="1616" w:type="dxa"/>
            <w:tcBorders>
              <w:top w:val="single" w:sz="6" w:space="0" w:color="auto"/>
              <w:left w:val="nil"/>
              <w:bottom w:val="nil"/>
              <w:right w:val="nil"/>
            </w:tcBorders>
          </w:tcPr>
          <w:p w14:paraId="38DA1DC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151,811</w:t>
            </w:r>
          </w:p>
        </w:tc>
      </w:tr>
      <w:tr w:rsidR="000251CF" w:rsidRPr="000251CF" w14:paraId="78B9EA33" w14:textId="77777777" w:rsidTr="0041176B">
        <w:trPr>
          <w:trHeight w:val="142"/>
        </w:trPr>
        <w:tc>
          <w:tcPr>
            <w:tcW w:w="2524" w:type="dxa"/>
            <w:tcBorders>
              <w:top w:val="nil"/>
              <w:left w:val="nil"/>
              <w:bottom w:val="nil"/>
              <w:right w:val="nil"/>
            </w:tcBorders>
          </w:tcPr>
          <w:p w14:paraId="4843F60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Trade Creditors</w:t>
            </w:r>
          </w:p>
        </w:tc>
        <w:tc>
          <w:tcPr>
            <w:tcW w:w="892" w:type="dxa"/>
            <w:tcBorders>
              <w:top w:val="nil"/>
              <w:left w:val="nil"/>
              <w:bottom w:val="nil"/>
              <w:right w:val="nil"/>
            </w:tcBorders>
          </w:tcPr>
          <w:p w14:paraId="7241CAF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59" w:type="dxa"/>
            <w:tcBorders>
              <w:top w:val="nil"/>
              <w:left w:val="nil"/>
              <w:bottom w:val="nil"/>
              <w:right w:val="nil"/>
            </w:tcBorders>
          </w:tcPr>
          <w:p w14:paraId="611586C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5" w:type="dxa"/>
            <w:tcBorders>
              <w:top w:val="nil"/>
              <w:left w:val="nil"/>
              <w:bottom w:val="nil"/>
              <w:right w:val="nil"/>
            </w:tcBorders>
          </w:tcPr>
          <w:p w14:paraId="11E0811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892" w:type="dxa"/>
            <w:tcBorders>
              <w:top w:val="nil"/>
              <w:left w:val="nil"/>
              <w:bottom w:val="nil"/>
              <w:right w:val="nil"/>
            </w:tcBorders>
          </w:tcPr>
          <w:p w14:paraId="6CC558C6"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nil"/>
              <w:left w:val="nil"/>
              <w:bottom w:val="nil"/>
              <w:right w:val="nil"/>
            </w:tcBorders>
          </w:tcPr>
          <w:p w14:paraId="69EB82B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234,335</w:t>
            </w:r>
          </w:p>
        </w:tc>
        <w:tc>
          <w:tcPr>
            <w:tcW w:w="1616" w:type="dxa"/>
            <w:tcBorders>
              <w:top w:val="nil"/>
              <w:left w:val="nil"/>
              <w:bottom w:val="nil"/>
              <w:right w:val="nil"/>
            </w:tcBorders>
          </w:tcPr>
          <w:p w14:paraId="0B0277C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167,841</w:t>
            </w:r>
          </w:p>
        </w:tc>
      </w:tr>
      <w:tr w:rsidR="000251CF" w:rsidRPr="000251CF" w14:paraId="10C43E9F" w14:textId="77777777" w:rsidTr="0041176B">
        <w:trPr>
          <w:trHeight w:val="142"/>
        </w:trPr>
        <w:tc>
          <w:tcPr>
            <w:tcW w:w="2524" w:type="dxa"/>
            <w:tcBorders>
              <w:top w:val="nil"/>
              <w:left w:val="nil"/>
              <w:bottom w:val="nil"/>
              <w:right w:val="nil"/>
            </w:tcBorders>
          </w:tcPr>
          <w:p w14:paraId="0F5AAFB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Audit Fees Payable</w:t>
            </w:r>
          </w:p>
        </w:tc>
        <w:tc>
          <w:tcPr>
            <w:tcW w:w="892" w:type="dxa"/>
            <w:tcBorders>
              <w:top w:val="nil"/>
              <w:left w:val="nil"/>
              <w:bottom w:val="nil"/>
              <w:right w:val="nil"/>
            </w:tcBorders>
          </w:tcPr>
          <w:p w14:paraId="251416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59" w:type="dxa"/>
            <w:tcBorders>
              <w:top w:val="nil"/>
              <w:left w:val="nil"/>
              <w:bottom w:val="nil"/>
              <w:right w:val="nil"/>
            </w:tcBorders>
          </w:tcPr>
          <w:p w14:paraId="0EA3077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5" w:type="dxa"/>
            <w:tcBorders>
              <w:top w:val="nil"/>
              <w:left w:val="nil"/>
              <w:bottom w:val="nil"/>
              <w:right w:val="nil"/>
            </w:tcBorders>
          </w:tcPr>
          <w:p w14:paraId="1F61977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892" w:type="dxa"/>
            <w:tcBorders>
              <w:top w:val="nil"/>
              <w:left w:val="nil"/>
              <w:bottom w:val="nil"/>
              <w:right w:val="nil"/>
            </w:tcBorders>
          </w:tcPr>
          <w:p w14:paraId="7DFCEED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nil"/>
              <w:left w:val="nil"/>
              <w:bottom w:val="nil"/>
              <w:right w:val="nil"/>
            </w:tcBorders>
          </w:tcPr>
          <w:p w14:paraId="6B63D84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26,100</w:t>
            </w:r>
          </w:p>
        </w:tc>
        <w:tc>
          <w:tcPr>
            <w:tcW w:w="1616" w:type="dxa"/>
            <w:tcBorders>
              <w:top w:val="nil"/>
              <w:left w:val="nil"/>
              <w:bottom w:val="nil"/>
              <w:right w:val="nil"/>
            </w:tcBorders>
          </w:tcPr>
          <w:p w14:paraId="706C960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26,100</w:t>
            </w:r>
          </w:p>
        </w:tc>
      </w:tr>
      <w:tr w:rsidR="000251CF" w:rsidRPr="000251CF" w14:paraId="467DD8E0" w14:textId="77777777" w:rsidTr="0041176B">
        <w:trPr>
          <w:trHeight w:val="142"/>
        </w:trPr>
        <w:tc>
          <w:tcPr>
            <w:tcW w:w="2524" w:type="dxa"/>
            <w:tcBorders>
              <w:top w:val="nil"/>
              <w:left w:val="nil"/>
              <w:bottom w:val="nil"/>
              <w:right w:val="nil"/>
            </w:tcBorders>
          </w:tcPr>
          <w:p w14:paraId="53A31687"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F91D31">
              <w:rPr>
                <w:rFonts w:ascii="Tahoma" w:eastAsia="Times New Roman" w:hAnsi="Tahoma" w:cs="Tahoma"/>
                <w:color w:val="000000"/>
                <w:sz w:val="16"/>
                <w:szCs w:val="16"/>
              </w:rPr>
              <w:t>Accrued Fee Expenses</w:t>
            </w:r>
            <w:r w:rsidRPr="000251CF">
              <w:rPr>
                <w:rFonts w:ascii="Tahoma" w:eastAsia="Times New Roman" w:hAnsi="Tahoma" w:cs="Tahoma"/>
                <w:color w:val="000000"/>
                <w:sz w:val="16"/>
                <w:szCs w:val="16"/>
              </w:rPr>
              <w:t>*</w:t>
            </w:r>
          </w:p>
        </w:tc>
        <w:tc>
          <w:tcPr>
            <w:tcW w:w="892" w:type="dxa"/>
            <w:tcBorders>
              <w:top w:val="nil"/>
              <w:left w:val="nil"/>
              <w:bottom w:val="nil"/>
              <w:right w:val="nil"/>
            </w:tcBorders>
          </w:tcPr>
          <w:p w14:paraId="32A41EC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59" w:type="dxa"/>
            <w:tcBorders>
              <w:top w:val="nil"/>
              <w:left w:val="nil"/>
              <w:bottom w:val="nil"/>
              <w:right w:val="nil"/>
            </w:tcBorders>
          </w:tcPr>
          <w:p w14:paraId="5D3E453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5" w:type="dxa"/>
            <w:tcBorders>
              <w:top w:val="nil"/>
              <w:left w:val="nil"/>
              <w:bottom w:val="nil"/>
              <w:right w:val="nil"/>
            </w:tcBorders>
          </w:tcPr>
          <w:p w14:paraId="38F1FEE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892" w:type="dxa"/>
            <w:tcBorders>
              <w:top w:val="nil"/>
              <w:left w:val="nil"/>
              <w:bottom w:val="nil"/>
              <w:right w:val="nil"/>
            </w:tcBorders>
          </w:tcPr>
          <w:p w14:paraId="36CDFA4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nil"/>
              <w:left w:val="nil"/>
              <w:bottom w:val="nil"/>
              <w:right w:val="nil"/>
            </w:tcBorders>
          </w:tcPr>
          <w:p w14:paraId="17066A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509,830</w:t>
            </w:r>
          </w:p>
        </w:tc>
        <w:tc>
          <w:tcPr>
            <w:tcW w:w="1616" w:type="dxa"/>
            <w:tcBorders>
              <w:top w:val="nil"/>
              <w:left w:val="nil"/>
              <w:bottom w:val="nil"/>
              <w:right w:val="nil"/>
            </w:tcBorders>
          </w:tcPr>
          <w:p w14:paraId="6C3EF65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1,326,101</w:t>
            </w:r>
          </w:p>
        </w:tc>
      </w:tr>
      <w:tr w:rsidR="000251CF" w:rsidRPr="000251CF" w14:paraId="4453AC6C" w14:textId="77777777" w:rsidTr="0041176B">
        <w:trPr>
          <w:trHeight w:val="142"/>
        </w:trPr>
        <w:tc>
          <w:tcPr>
            <w:tcW w:w="2524" w:type="dxa"/>
            <w:tcBorders>
              <w:top w:val="nil"/>
              <w:left w:val="nil"/>
              <w:bottom w:val="nil"/>
              <w:right w:val="nil"/>
            </w:tcBorders>
          </w:tcPr>
          <w:p w14:paraId="64F5DEB7"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892" w:type="dxa"/>
            <w:tcBorders>
              <w:top w:val="nil"/>
              <w:left w:val="nil"/>
              <w:bottom w:val="nil"/>
              <w:right w:val="nil"/>
            </w:tcBorders>
          </w:tcPr>
          <w:p w14:paraId="476E0E6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59" w:type="dxa"/>
            <w:tcBorders>
              <w:top w:val="nil"/>
              <w:left w:val="nil"/>
              <w:bottom w:val="nil"/>
              <w:right w:val="nil"/>
            </w:tcBorders>
          </w:tcPr>
          <w:p w14:paraId="642BBC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5" w:type="dxa"/>
            <w:tcBorders>
              <w:top w:val="nil"/>
              <w:left w:val="nil"/>
              <w:bottom w:val="nil"/>
              <w:right w:val="nil"/>
            </w:tcBorders>
          </w:tcPr>
          <w:p w14:paraId="7CEFD78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892" w:type="dxa"/>
            <w:tcBorders>
              <w:top w:val="nil"/>
              <w:left w:val="nil"/>
              <w:bottom w:val="nil"/>
              <w:right w:val="nil"/>
            </w:tcBorders>
          </w:tcPr>
          <w:p w14:paraId="182B7577"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6" w:type="dxa"/>
            <w:tcBorders>
              <w:top w:val="nil"/>
              <w:left w:val="nil"/>
              <w:bottom w:val="nil"/>
              <w:right w:val="nil"/>
            </w:tcBorders>
          </w:tcPr>
          <w:p w14:paraId="5646049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916,409</w:t>
            </w:r>
          </w:p>
        </w:tc>
        <w:tc>
          <w:tcPr>
            <w:tcW w:w="1616" w:type="dxa"/>
            <w:tcBorders>
              <w:top w:val="nil"/>
              <w:left w:val="nil"/>
              <w:bottom w:val="nil"/>
              <w:right w:val="nil"/>
            </w:tcBorders>
          </w:tcPr>
          <w:p w14:paraId="572BBF3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1,671,853</w:t>
            </w:r>
          </w:p>
        </w:tc>
      </w:tr>
    </w:tbl>
    <w:p w14:paraId="590A8659" w14:textId="77777777" w:rsidR="000251CF" w:rsidRPr="000251CF" w:rsidRDefault="000251CF" w:rsidP="000251CF">
      <w:pPr>
        <w:spacing w:before="0" w:after="120" w:line="240" w:lineRule="auto"/>
        <w:rPr>
          <w:rFonts w:ascii="Calibri" w:eastAsia="Times New Roman" w:hAnsi="Calibri" w:cs="Calibri"/>
          <w:szCs w:val="20"/>
          <w:lang w:eastAsia="en-AU"/>
        </w:rPr>
      </w:pPr>
      <w:r w:rsidRPr="000251CF">
        <w:rPr>
          <w:rFonts w:ascii="Calibri" w:eastAsia="Times New Roman" w:hAnsi="Calibri" w:cs="Calibri"/>
          <w:szCs w:val="20"/>
          <w:lang w:eastAsia="en-AU"/>
        </w:rPr>
        <w:t>*Accrued Fee Expenses represents reasonable costs less than the regulatory fees received that will be repaid in the next financial year.</w:t>
      </w:r>
      <w:r w:rsidRPr="000251CF">
        <w:rPr>
          <w:rFonts w:ascii="Calibri" w:eastAsia="Times New Roman" w:hAnsi="Calibri" w:cs="Calibri"/>
          <w:szCs w:val="20"/>
          <w:lang w:eastAsia="en-AU"/>
        </w:rPr>
        <w:tab/>
      </w:r>
    </w:p>
    <w:p w14:paraId="03D0D961" w14:textId="77777777" w:rsidR="000251CF" w:rsidRPr="000251CF" w:rsidRDefault="000251CF" w:rsidP="000251CF">
      <w:pPr>
        <w:spacing w:before="120" w:after="0" w:line="240" w:lineRule="auto"/>
        <w:rPr>
          <w:rFonts w:ascii="Calibri" w:eastAsia="Times New Roman" w:hAnsi="Calibri" w:cs="Times New Roman"/>
          <w:b/>
          <w:bCs/>
          <w:szCs w:val="20"/>
          <w:lang w:eastAsia="en-AU"/>
        </w:rPr>
      </w:pPr>
      <w:r w:rsidRPr="000251CF">
        <w:rPr>
          <w:rFonts w:ascii="Calibri" w:eastAsia="Times New Roman" w:hAnsi="Calibri" w:cs="Times New Roman"/>
          <w:b/>
          <w:szCs w:val="20"/>
        </w:rPr>
        <w:t>Accounting Policy</w:t>
      </w:r>
      <w:r w:rsidRPr="000251CF">
        <w:rPr>
          <w:rFonts w:ascii="Calibri" w:eastAsia="Times New Roman" w:hAnsi="Calibri" w:cs="Times New Roman"/>
          <w:b/>
          <w:bCs/>
          <w:szCs w:val="20"/>
          <w:lang w:eastAsia="en-AU"/>
        </w:rPr>
        <w:tab/>
      </w:r>
      <w:r w:rsidRPr="000251CF">
        <w:rPr>
          <w:rFonts w:ascii="Calibri" w:eastAsia="Times New Roman" w:hAnsi="Calibri" w:cs="Times New Roman"/>
          <w:b/>
          <w:bCs/>
          <w:szCs w:val="20"/>
          <w:lang w:eastAsia="en-AU"/>
        </w:rPr>
        <w:tab/>
      </w:r>
      <w:r w:rsidRPr="000251CF">
        <w:rPr>
          <w:rFonts w:ascii="Calibri" w:eastAsia="Times New Roman" w:hAnsi="Calibri" w:cs="Times New Roman"/>
          <w:b/>
          <w:bCs/>
          <w:szCs w:val="20"/>
          <w:lang w:eastAsia="en-AU"/>
        </w:rPr>
        <w:tab/>
      </w:r>
      <w:r w:rsidRPr="000251CF">
        <w:rPr>
          <w:rFonts w:ascii="Calibri" w:eastAsia="Times New Roman" w:hAnsi="Calibri" w:cs="Times New Roman"/>
          <w:b/>
          <w:bCs/>
          <w:szCs w:val="20"/>
          <w:lang w:eastAsia="en-AU"/>
        </w:rPr>
        <w:tab/>
      </w:r>
      <w:r w:rsidRPr="000251CF">
        <w:rPr>
          <w:rFonts w:ascii="Calibri" w:eastAsia="Times New Roman" w:hAnsi="Calibri" w:cs="Times New Roman"/>
          <w:b/>
          <w:bCs/>
          <w:szCs w:val="20"/>
          <w:lang w:eastAsia="en-AU"/>
        </w:rPr>
        <w:tab/>
      </w:r>
      <w:r w:rsidRPr="000251CF">
        <w:rPr>
          <w:rFonts w:ascii="Calibri" w:eastAsia="Times New Roman" w:hAnsi="Calibri" w:cs="Times New Roman"/>
          <w:b/>
          <w:bCs/>
          <w:szCs w:val="20"/>
          <w:lang w:eastAsia="en-AU"/>
        </w:rPr>
        <w:tab/>
      </w:r>
    </w:p>
    <w:p w14:paraId="7E3017EE" w14:textId="77777777" w:rsidR="000251CF" w:rsidRPr="000251CF" w:rsidRDefault="000251CF" w:rsidP="000251CF">
      <w:pPr>
        <w:spacing w:before="0" w:after="120"/>
        <w:rPr>
          <w:rFonts w:ascii="Calibri" w:eastAsia="Calibri" w:hAnsi="Calibri" w:cs="Calibri"/>
          <w:color w:val="363636"/>
          <w:lang w:eastAsia="en-AU"/>
        </w:rPr>
      </w:pPr>
      <w:r w:rsidRPr="000251CF">
        <w:rPr>
          <w:rFonts w:ascii="Calibri" w:eastAsia="Calibri" w:hAnsi="Calibri" w:cs="Times New Roman"/>
          <w:color w:val="363636"/>
          <w:lang w:eastAsia="en-AU"/>
        </w:rPr>
        <w:t xml:space="preserve">Trade Creditors are recognised upon receipt of the goods or services ordered and are measured at the nominal </w:t>
      </w:r>
      <w:proofErr w:type="gramStart"/>
      <w:r w:rsidRPr="000251CF">
        <w:rPr>
          <w:rFonts w:ascii="Calibri" w:eastAsia="Calibri" w:hAnsi="Calibri" w:cs="Times New Roman"/>
          <w:color w:val="363636"/>
          <w:lang w:eastAsia="en-AU"/>
        </w:rPr>
        <w:t>amount;</w:t>
      </w:r>
      <w:proofErr w:type="gramEnd"/>
      <w:r w:rsidRPr="000251CF">
        <w:rPr>
          <w:rFonts w:ascii="Calibri" w:eastAsia="Calibri" w:hAnsi="Calibri" w:cs="Times New Roman"/>
          <w:color w:val="363636"/>
          <w:lang w:eastAsia="en-AU"/>
        </w:rPr>
        <w:t xml:space="preserve"> i.e. agreed purchase/contract price, gross of applicable trade and other discounts. Trade creditors are generally unsecured, not subject to interest charges and are normally settled within agreed business terms.</w:t>
      </w:r>
    </w:p>
    <w:p w14:paraId="1613006C" w14:textId="77777777" w:rsidR="000251CF" w:rsidRPr="000251CF" w:rsidRDefault="000251CF" w:rsidP="000251CF">
      <w:pPr>
        <w:spacing w:before="0"/>
        <w:ind w:left="284" w:hanging="284"/>
        <w:rPr>
          <w:rFonts w:ascii="Calibri" w:eastAsia="Calibri" w:hAnsi="Calibri" w:cs="Times New Roman"/>
          <w:b/>
          <w:color w:val="363636"/>
        </w:rPr>
      </w:pPr>
      <w:r w:rsidRPr="000251CF">
        <w:rPr>
          <w:rFonts w:ascii="Calibri" w:eastAsia="Calibri" w:hAnsi="Calibri" w:cs="Times New Roman"/>
          <w:b/>
          <w:color w:val="363636"/>
        </w:rPr>
        <w:t>Note 16:</w:t>
      </w:r>
    </w:p>
    <w:tbl>
      <w:tblPr>
        <w:tblW w:w="9158" w:type="dxa"/>
        <w:tblInd w:w="-30" w:type="dxa"/>
        <w:tblLayout w:type="fixed"/>
        <w:tblLook w:val="0000" w:firstRow="0" w:lastRow="0" w:firstColumn="0" w:lastColumn="0" w:noHBand="0" w:noVBand="0"/>
      </w:tblPr>
      <w:tblGrid>
        <w:gridCol w:w="2155"/>
        <w:gridCol w:w="982"/>
        <w:gridCol w:w="1058"/>
        <w:gridCol w:w="1087"/>
        <w:gridCol w:w="702"/>
        <w:gridCol w:w="1615"/>
        <w:gridCol w:w="1559"/>
      </w:tblGrid>
      <w:tr w:rsidR="000251CF" w:rsidRPr="000251CF" w14:paraId="0C0D71C3" w14:textId="77777777" w:rsidTr="0088213C">
        <w:trPr>
          <w:trHeight w:val="142"/>
        </w:trPr>
        <w:tc>
          <w:tcPr>
            <w:tcW w:w="3137" w:type="dxa"/>
            <w:gridSpan w:val="2"/>
            <w:tcBorders>
              <w:top w:val="nil"/>
              <w:left w:val="nil"/>
              <w:right w:val="nil"/>
            </w:tcBorders>
          </w:tcPr>
          <w:p w14:paraId="7203E58E"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Accrued Employee Benefits</w:t>
            </w:r>
          </w:p>
        </w:tc>
        <w:tc>
          <w:tcPr>
            <w:tcW w:w="1058" w:type="dxa"/>
            <w:tcBorders>
              <w:top w:val="nil"/>
              <w:left w:val="nil"/>
              <w:right w:val="nil"/>
            </w:tcBorders>
          </w:tcPr>
          <w:p w14:paraId="1A8A6CE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right w:val="nil"/>
            </w:tcBorders>
          </w:tcPr>
          <w:p w14:paraId="4B7FA3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702" w:type="dxa"/>
            <w:tcBorders>
              <w:top w:val="nil"/>
              <w:left w:val="nil"/>
              <w:right w:val="nil"/>
            </w:tcBorders>
          </w:tcPr>
          <w:p w14:paraId="7AB4C0DB"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right w:val="nil"/>
            </w:tcBorders>
            <w:shd w:val="solid" w:color="C0C0C0" w:fill="auto"/>
          </w:tcPr>
          <w:p w14:paraId="0357974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559" w:type="dxa"/>
            <w:tcBorders>
              <w:top w:val="nil"/>
              <w:left w:val="nil"/>
              <w:right w:val="nil"/>
            </w:tcBorders>
            <w:shd w:val="solid" w:color="C0C0C0" w:fill="auto"/>
          </w:tcPr>
          <w:p w14:paraId="52546E0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5532398F" w14:textId="77777777" w:rsidTr="0088213C">
        <w:trPr>
          <w:trHeight w:val="142"/>
        </w:trPr>
        <w:tc>
          <w:tcPr>
            <w:tcW w:w="2157" w:type="dxa"/>
            <w:tcBorders>
              <w:top w:val="nil"/>
              <w:left w:val="nil"/>
              <w:bottom w:val="single" w:sz="6" w:space="0" w:color="auto"/>
              <w:right w:val="nil"/>
            </w:tcBorders>
          </w:tcPr>
          <w:p w14:paraId="7AD2054D"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982" w:type="dxa"/>
            <w:tcBorders>
              <w:top w:val="nil"/>
              <w:left w:val="nil"/>
              <w:bottom w:val="single" w:sz="6" w:space="0" w:color="auto"/>
              <w:right w:val="nil"/>
            </w:tcBorders>
          </w:tcPr>
          <w:p w14:paraId="6622556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single" w:sz="6" w:space="0" w:color="auto"/>
              <w:right w:val="nil"/>
            </w:tcBorders>
          </w:tcPr>
          <w:p w14:paraId="4E33492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single" w:sz="6" w:space="0" w:color="auto"/>
              <w:right w:val="nil"/>
            </w:tcBorders>
          </w:tcPr>
          <w:p w14:paraId="2089425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700" w:type="dxa"/>
            <w:tcBorders>
              <w:top w:val="nil"/>
              <w:left w:val="nil"/>
              <w:bottom w:val="single" w:sz="6" w:space="0" w:color="auto"/>
              <w:right w:val="nil"/>
            </w:tcBorders>
          </w:tcPr>
          <w:p w14:paraId="4CC3DFA6"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single" w:sz="6" w:space="0" w:color="auto"/>
              <w:right w:val="nil"/>
            </w:tcBorders>
            <w:shd w:val="solid" w:color="C0C0C0" w:fill="auto"/>
          </w:tcPr>
          <w:p w14:paraId="1167B26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559" w:type="dxa"/>
            <w:tcBorders>
              <w:top w:val="nil"/>
              <w:left w:val="nil"/>
              <w:bottom w:val="single" w:sz="6" w:space="0" w:color="auto"/>
              <w:right w:val="nil"/>
            </w:tcBorders>
            <w:shd w:val="solid" w:color="C0C0C0" w:fill="auto"/>
          </w:tcPr>
          <w:p w14:paraId="5234F89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46E58C6A" w14:textId="77777777" w:rsidTr="0088213C">
        <w:trPr>
          <w:trHeight w:val="142"/>
        </w:trPr>
        <w:tc>
          <w:tcPr>
            <w:tcW w:w="2157" w:type="dxa"/>
            <w:tcBorders>
              <w:top w:val="single" w:sz="6" w:space="0" w:color="auto"/>
              <w:left w:val="nil"/>
              <w:bottom w:val="nil"/>
              <w:right w:val="nil"/>
            </w:tcBorders>
          </w:tcPr>
          <w:p w14:paraId="02D7085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r w:rsidRPr="000251CF">
              <w:rPr>
                <w:rFonts w:ascii="Tahoma" w:eastAsia="Times New Roman" w:hAnsi="Tahoma" w:cs="Tahoma"/>
                <w:b/>
                <w:bCs/>
                <w:i/>
                <w:iCs/>
                <w:color w:val="000000"/>
                <w:sz w:val="16"/>
                <w:szCs w:val="16"/>
              </w:rPr>
              <w:t>Current</w:t>
            </w:r>
          </w:p>
        </w:tc>
        <w:tc>
          <w:tcPr>
            <w:tcW w:w="982" w:type="dxa"/>
            <w:tcBorders>
              <w:top w:val="single" w:sz="6" w:space="0" w:color="auto"/>
              <w:left w:val="nil"/>
              <w:bottom w:val="nil"/>
              <w:right w:val="nil"/>
            </w:tcBorders>
          </w:tcPr>
          <w:p w14:paraId="0E674F2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1058" w:type="dxa"/>
            <w:tcBorders>
              <w:top w:val="single" w:sz="6" w:space="0" w:color="auto"/>
              <w:left w:val="nil"/>
              <w:bottom w:val="nil"/>
              <w:right w:val="nil"/>
            </w:tcBorders>
          </w:tcPr>
          <w:p w14:paraId="2C53DCA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1087" w:type="dxa"/>
            <w:tcBorders>
              <w:top w:val="single" w:sz="6" w:space="0" w:color="auto"/>
              <w:left w:val="nil"/>
              <w:bottom w:val="nil"/>
              <w:right w:val="nil"/>
            </w:tcBorders>
          </w:tcPr>
          <w:p w14:paraId="284451C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i/>
                <w:iCs/>
                <w:color w:val="000000"/>
                <w:sz w:val="16"/>
                <w:szCs w:val="16"/>
              </w:rPr>
            </w:pPr>
          </w:p>
        </w:tc>
        <w:tc>
          <w:tcPr>
            <w:tcW w:w="700" w:type="dxa"/>
            <w:tcBorders>
              <w:top w:val="single" w:sz="6" w:space="0" w:color="auto"/>
              <w:left w:val="nil"/>
              <w:bottom w:val="nil"/>
              <w:right w:val="nil"/>
            </w:tcBorders>
          </w:tcPr>
          <w:p w14:paraId="6001FCB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single" w:sz="6" w:space="0" w:color="auto"/>
              <w:left w:val="nil"/>
              <w:bottom w:val="nil"/>
              <w:right w:val="nil"/>
            </w:tcBorders>
          </w:tcPr>
          <w:p w14:paraId="4749900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single" w:sz="6" w:space="0" w:color="auto"/>
              <w:left w:val="nil"/>
              <w:bottom w:val="nil"/>
              <w:right w:val="nil"/>
            </w:tcBorders>
          </w:tcPr>
          <w:p w14:paraId="6C279E0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3AC164F2" w14:textId="77777777" w:rsidTr="0088213C">
        <w:trPr>
          <w:trHeight w:val="142"/>
        </w:trPr>
        <w:tc>
          <w:tcPr>
            <w:tcW w:w="2157" w:type="dxa"/>
            <w:tcBorders>
              <w:top w:val="nil"/>
              <w:left w:val="nil"/>
              <w:bottom w:val="nil"/>
              <w:right w:val="nil"/>
            </w:tcBorders>
          </w:tcPr>
          <w:p w14:paraId="6F48A8A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Annual Leave</w:t>
            </w:r>
          </w:p>
        </w:tc>
        <w:tc>
          <w:tcPr>
            <w:tcW w:w="982" w:type="dxa"/>
            <w:tcBorders>
              <w:top w:val="nil"/>
              <w:left w:val="nil"/>
              <w:bottom w:val="nil"/>
              <w:right w:val="nil"/>
            </w:tcBorders>
          </w:tcPr>
          <w:p w14:paraId="517C03C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58" w:type="dxa"/>
            <w:tcBorders>
              <w:top w:val="nil"/>
              <w:left w:val="nil"/>
              <w:bottom w:val="nil"/>
              <w:right w:val="nil"/>
            </w:tcBorders>
          </w:tcPr>
          <w:p w14:paraId="1DAB0BE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nil"/>
              <w:left w:val="nil"/>
              <w:bottom w:val="nil"/>
              <w:right w:val="nil"/>
            </w:tcBorders>
          </w:tcPr>
          <w:p w14:paraId="45F5098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700" w:type="dxa"/>
            <w:tcBorders>
              <w:top w:val="nil"/>
              <w:left w:val="nil"/>
              <w:bottom w:val="nil"/>
              <w:right w:val="nil"/>
            </w:tcBorders>
          </w:tcPr>
          <w:p w14:paraId="647BE4C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0005550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646,164</w:t>
            </w:r>
          </w:p>
        </w:tc>
        <w:tc>
          <w:tcPr>
            <w:tcW w:w="1559" w:type="dxa"/>
            <w:tcBorders>
              <w:top w:val="nil"/>
              <w:left w:val="nil"/>
              <w:bottom w:val="nil"/>
              <w:right w:val="nil"/>
            </w:tcBorders>
          </w:tcPr>
          <w:p w14:paraId="679ADA9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602,043</w:t>
            </w:r>
          </w:p>
        </w:tc>
      </w:tr>
      <w:tr w:rsidR="000251CF" w:rsidRPr="000251CF" w14:paraId="4D76D801" w14:textId="77777777" w:rsidTr="0088213C">
        <w:trPr>
          <w:trHeight w:val="142"/>
        </w:trPr>
        <w:tc>
          <w:tcPr>
            <w:tcW w:w="2157" w:type="dxa"/>
            <w:tcBorders>
              <w:top w:val="nil"/>
              <w:left w:val="nil"/>
              <w:bottom w:val="nil"/>
              <w:right w:val="nil"/>
            </w:tcBorders>
          </w:tcPr>
          <w:p w14:paraId="284A6A3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Staff Retention Scheme</w:t>
            </w:r>
          </w:p>
        </w:tc>
        <w:tc>
          <w:tcPr>
            <w:tcW w:w="982" w:type="dxa"/>
            <w:tcBorders>
              <w:top w:val="nil"/>
              <w:left w:val="nil"/>
              <w:bottom w:val="nil"/>
              <w:right w:val="nil"/>
            </w:tcBorders>
          </w:tcPr>
          <w:p w14:paraId="49D877D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58" w:type="dxa"/>
            <w:tcBorders>
              <w:top w:val="nil"/>
              <w:left w:val="nil"/>
              <w:bottom w:val="nil"/>
              <w:right w:val="nil"/>
            </w:tcBorders>
          </w:tcPr>
          <w:p w14:paraId="107A937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1087" w:type="dxa"/>
            <w:tcBorders>
              <w:top w:val="nil"/>
              <w:left w:val="nil"/>
              <w:bottom w:val="nil"/>
              <w:right w:val="nil"/>
            </w:tcBorders>
          </w:tcPr>
          <w:p w14:paraId="497797E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700" w:type="dxa"/>
            <w:tcBorders>
              <w:top w:val="nil"/>
              <w:left w:val="nil"/>
              <w:bottom w:val="nil"/>
              <w:right w:val="nil"/>
            </w:tcBorders>
          </w:tcPr>
          <w:p w14:paraId="0C0ADC00"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17A69B2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93,744</w:t>
            </w:r>
          </w:p>
        </w:tc>
        <w:tc>
          <w:tcPr>
            <w:tcW w:w="1559" w:type="dxa"/>
            <w:tcBorders>
              <w:top w:val="nil"/>
              <w:left w:val="nil"/>
              <w:bottom w:val="nil"/>
              <w:right w:val="nil"/>
            </w:tcBorders>
          </w:tcPr>
          <w:p w14:paraId="6D9A247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85,808</w:t>
            </w:r>
          </w:p>
        </w:tc>
      </w:tr>
      <w:tr w:rsidR="000251CF" w:rsidRPr="000251CF" w14:paraId="09391B73" w14:textId="77777777" w:rsidTr="0088213C">
        <w:trPr>
          <w:trHeight w:val="142"/>
        </w:trPr>
        <w:tc>
          <w:tcPr>
            <w:tcW w:w="2157" w:type="dxa"/>
            <w:tcBorders>
              <w:top w:val="nil"/>
              <w:left w:val="nil"/>
              <w:bottom w:val="nil"/>
              <w:right w:val="nil"/>
            </w:tcBorders>
          </w:tcPr>
          <w:p w14:paraId="63497D4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982" w:type="dxa"/>
            <w:tcBorders>
              <w:top w:val="nil"/>
              <w:left w:val="nil"/>
              <w:bottom w:val="nil"/>
              <w:right w:val="nil"/>
            </w:tcBorders>
          </w:tcPr>
          <w:p w14:paraId="1558ABC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058" w:type="dxa"/>
            <w:tcBorders>
              <w:top w:val="nil"/>
              <w:left w:val="nil"/>
              <w:bottom w:val="nil"/>
              <w:right w:val="nil"/>
            </w:tcBorders>
          </w:tcPr>
          <w:p w14:paraId="05C2724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087" w:type="dxa"/>
            <w:tcBorders>
              <w:top w:val="nil"/>
              <w:left w:val="nil"/>
              <w:bottom w:val="nil"/>
              <w:right w:val="nil"/>
            </w:tcBorders>
          </w:tcPr>
          <w:p w14:paraId="0FA68268"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700" w:type="dxa"/>
            <w:tcBorders>
              <w:top w:val="nil"/>
              <w:left w:val="nil"/>
              <w:bottom w:val="nil"/>
              <w:right w:val="nil"/>
            </w:tcBorders>
          </w:tcPr>
          <w:p w14:paraId="01E5923F"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5F2832C8"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 xml:space="preserve">739,908 </w:t>
            </w:r>
          </w:p>
        </w:tc>
        <w:tc>
          <w:tcPr>
            <w:tcW w:w="1559" w:type="dxa"/>
            <w:tcBorders>
              <w:top w:val="nil"/>
              <w:left w:val="nil"/>
              <w:bottom w:val="nil"/>
              <w:right w:val="nil"/>
            </w:tcBorders>
          </w:tcPr>
          <w:p w14:paraId="24310FD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687,851</w:t>
            </w:r>
          </w:p>
        </w:tc>
      </w:tr>
      <w:tr w:rsidR="000251CF" w:rsidRPr="000251CF" w14:paraId="199CC78E" w14:textId="77777777" w:rsidTr="0088213C">
        <w:trPr>
          <w:trHeight w:val="142"/>
        </w:trPr>
        <w:tc>
          <w:tcPr>
            <w:tcW w:w="2157" w:type="dxa"/>
            <w:tcBorders>
              <w:top w:val="nil"/>
              <w:left w:val="nil"/>
              <w:bottom w:val="nil"/>
              <w:right w:val="nil"/>
            </w:tcBorders>
          </w:tcPr>
          <w:p w14:paraId="6EDEBFA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726C32D3"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058" w:type="dxa"/>
            <w:tcBorders>
              <w:top w:val="nil"/>
              <w:left w:val="nil"/>
              <w:bottom w:val="nil"/>
              <w:right w:val="nil"/>
            </w:tcBorders>
          </w:tcPr>
          <w:p w14:paraId="3BE6C6E8"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087" w:type="dxa"/>
            <w:tcBorders>
              <w:top w:val="nil"/>
              <w:left w:val="nil"/>
              <w:bottom w:val="nil"/>
              <w:right w:val="nil"/>
            </w:tcBorders>
          </w:tcPr>
          <w:p w14:paraId="1F698EA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700" w:type="dxa"/>
            <w:tcBorders>
              <w:top w:val="nil"/>
              <w:left w:val="nil"/>
              <w:bottom w:val="nil"/>
              <w:right w:val="nil"/>
            </w:tcBorders>
          </w:tcPr>
          <w:p w14:paraId="2F930E8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37A1847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4A64D71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r>
      <w:tr w:rsidR="000251CF" w:rsidRPr="000251CF" w14:paraId="431BD4EB" w14:textId="77777777" w:rsidTr="0088213C">
        <w:trPr>
          <w:trHeight w:val="142"/>
        </w:trPr>
        <w:tc>
          <w:tcPr>
            <w:tcW w:w="2157" w:type="dxa"/>
            <w:tcBorders>
              <w:top w:val="nil"/>
              <w:left w:val="nil"/>
              <w:bottom w:val="nil"/>
              <w:right w:val="nil"/>
            </w:tcBorders>
          </w:tcPr>
          <w:p w14:paraId="2EA05486"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r w:rsidRPr="000251CF">
              <w:rPr>
                <w:rFonts w:ascii="Tahoma" w:eastAsia="Times New Roman" w:hAnsi="Tahoma" w:cs="Tahoma"/>
                <w:b/>
                <w:bCs/>
                <w:i/>
                <w:iCs/>
                <w:color w:val="000000"/>
                <w:sz w:val="16"/>
                <w:szCs w:val="16"/>
              </w:rPr>
              <w:t>Non-Current</w:t>
            </w:r>
          </w:p>
        </w:tc>
        <w:tc>
          <w:tcPr>
            <w:tcW w:w="982" w:type="dxa"/>
            <w:tcBorders>
              <w:top w:val="nil"/>
              <w:left w:val="nil"/>
              <w:bottom w:val="nil"/>
              <w:right w:val="nil"/>
            </w:tcBorders>
          </w:tcPr>
          <w:p w14:paraId="57D76C86"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1058" w:type="dxa"/>
            <w:tcBorders>
              <w:top w:val="nil"/>
              <w:left w:val="nil"/>
              <w:bottom w:val="nil"/>
              <w:right w:val="nil"/>
            </w:tcBorders>
          </w:tcPr>
          <w:p w14:paraId="7E6B345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1087" w:type="dxa"/>
            <w:tcBorders>
              <w:top w:val="nil"/>
              <w:left w:val="nil"/>
              <w:bottom w:val="nil"/>
              <w:right w:val="nil"/>
            </w:tcBorders>
          </w:tcPr>
          <w:p w14:paraId="71C3910B"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700" w:type="dxa"/>
            <w:tcBorders>
              <w:top w:val="nil"/>
              <w:left w:val="nil"/>
              <w:bottom w:val="nil"/>
              <w:right w:val="nil"/>
            </w:tcBorders>
          </w:tcPr>
          <w:p w14:paraId="76A0500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7F2BE2B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559" w:type="dxa"/>
            <w:tcBorders>
              <w:top w:val="nil"/>
              <w:left w:val="nil"/>
              <w:bottom w:val="nil"/>
              <w:right w:val="nil"/>
            </w:tcBorders>
          </w:tcPr>
          <w:p w14:paraId="51A5077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r>
      <w:tr w:rsidR="000251CF" w:rsidRPr="000251CF" w14:paraId="582B868C" w14:textId="77777777" w:rsidTr="0088213C">
        <w:trPr>
          <w:trHeight w:val="142"/>
        </w:trPr>
        <w:tc>
          <w:tcPr>
            <w:tcW w:w="2157" w:type="dxa"/>
            <w:tcBorders>
              <w:top w:val="nil"/>
              <w:left w:val="nil"/>
              <w:bottom w:val="nil"/>
              <w:right w:val="nil"/>
            </w:tcBorders>
          </w:tcPr>
          <w:p w14:paraId="1DC404C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Staff Retention Scheme</w:t>
            </w:r>
          </w:p>
        </w:tc>
        <w:tc>
          <w:tcPr>
            <w:tcW w:w="982" w:type="dxa"/>
            <w:tcBorders>
              <w:top w:val="nil"/>
              <w:left w:val="nil"/>
              <w:bottom w:val="nil"/>
              <w:right w:val="nil"/>
            </w:tcBorders>
          </w:tcPr>
          <w:p w14:paraId="03F9069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058" w:type="dxa"/>
            <w:tcBorders>
              <w:top w:val="nil"/>
              <w:left w:val="nil"/>
              <w:bottom w:val="nil"/>
              <w:right w:val="nil"/>
            </w:tcBorders>
          </w:tcPr>
          <w:p w14:paraId="037F7C39"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087" w:type="dxa"/>
            <w:tcBorders>
              <w:top w:val="nil"/>
              <w:left w:val="nil"/>
              <w:bottom w:val="nil"/>
              <w:right w:val="nil"/>
            </w:tcBorders>
          </w:tcPr>
          <w:p w14:paraId="4CCD3940"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700" w:type="dxa"/>
            <w:tcBorders>
              <w:top w:val="nil"/>
              <w:left w:val="nil"/>
              <w:bottom w:val="nil"/>
              <w:right w:val="nil"/>
            </w:tcBorders>
          </w:tcPr>
          <w:p w14:paraId="781A1BF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1CB0037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155,854</w:t>
            </w:r>
          </w:p>
        </w:tc>
        <w:tc>
          <w:tcPr>
            <w:tcW w:w="1559" w:type="dxa"/>
            <w:tcBorders>
              <w:top w:val="nil"/>
              <w:left w:val="nil"/>
              <w:bottom w:val="nil"/>
              <w:right w:val="nil"/>
            </w:tcBorders>
          </w:tcPr>
          <w:p w14:paraId="278298C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153,151</w:t>
            </w:r>
          </w:p>
        </w:tc>
      </w:tr>
      <w:tr w:rsidR="000251CF" w:rsidRPr="000251CF" w14:paraId="7AB6C451" w14:textId="77777777" w:rsidTr="0088213C">
        <w:trPr>
          <w:trHeight w:val="142"/>
        </w:trPr>
        <w:tc>
          <w:tcPr>
            <w:tcW w:w="2157" w:type="dxa"/>
            <w:tcBorders>
              <w:top w:val="nil"/>
              <w:left w:val="nil"/>
              <w:bottom w:val="nil"/>
              <w:right w:val="nil"/>
            </w:tcBorders>
          </w:tcPr>
          <w:p w14:paraId="18D57F8E"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w:t>
            </w:r>
          </w:p>
        </w:tc>
        <w:tc>
          <w:tcPr>
            <w:tcW w:w="982" w:type="dxa"/>
            <w:tcBorders>
              <w:top w:val="nil"/>
              <w:left w:val="nil"/>
              <w:bottom w:val="nil"/>
              <w:right w:val="nil"/>
            </w:tcBorders>
          </w:tcPr>
          <w:p w14:paraId="518B242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058" w:type="dxa"/>
            <w:tcBorders>
              <w:top w:val="nil"/>
              <w:left w:val="nil"/>
              <w:bottom w:val="nil"/>
              <w:right w:val="nil"/>
            </w:tcBorders>
          </w:tcPr>
          <w:p w14:paraId="61F5F30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087" w:type="dxa"/>
            <w:tcBorders>
              <w:top w:val="nil"/>
              <w:left w:val="nil"/>
              <w:bottom w:val="nil"/>
              <w:right w:val="nil"/>
            </w:tcBorders>
          </w:tcPr>
          <w:p w14:paraId="33787895"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700" w:type="dxa"/>
            <w:tcBorders>
              <w:top w:val="nil"/>
              <w:left w:val="nil"/>
              <w:bottom w:val="nil"/>
              <w:right w:val="nil"/>
            </w:tcBorders>
          </w:tcPr>
          <w:p w14:paraId="2FB6B257"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b/>
                <w:bCs/>
                <w:color w:val="000000"/>
                <w:sz w:val="18"/>
                <w:szCs w:val="18"/>
              </w:rPr>
            </w:pPr>
          </w:p>
        </w:tc>
        <w:tc>
          <w:tcPr>
            <w:tcW w:w="1615" w:type="dxa"/>
            <w:tcBorders>
              <w:top w:val="nil"/>
              <w:left w:val="nil"/>
              <w:bottom w:val="nil"/>
              <w:right w:val="nil"/>
            </w:tcBorders>
          </w:tcPr>
          <w:p w14:paraId="0EE46EA7"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155,854</w:t>
            </w:r>
          </w:p>
        </w:tc>
        <w:tc>
          <w:tcPr>
            <w:tcW w:w="1559" w:type="dxa"/>
            <w:tcBorders>
              <w:top w:val="nil"/>
              <w:left w:val="nil"/>
              <w:bottom w:val="nil"/>
              <w:right w:val="nil"/>
            </w:tcBorders>
          </w:tcPr>
          <w:p w14:paraId="6C75B53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153,151</w:t>
            </w:r>
          </w:p>
        </w:tc>
      </w:tr>
    </w:tbl>
    <w:p w14:paraId="50964BA4" w14:textId="77777777" w:rsidR="000251CF" w:rsidRPr="000251CF" w:rsidRDefault="000251CF" w:rsidP="000251CF">
      <w:pPr>
        <w:spacing w:before="120" w:after="0" w:line="240" w:lineRule="auto"/>
        <w:rPr>
          <w:rFonts w:ascii="Calibri" w:eastAsia="Times New Roman" w:hAnsi="Calibri" w:cs="Times New Roman"/>
          <w:b/>
          <w:szCs w:val="20"/>
        </w:rPr>
      </w:pPr>
      <w:r w:rsidRPr="000251CF">
        <w:rPr>
          <w:rFonts w:ascii="Calibri" w:eastAsia="Times New Roman" w:hAnsi="Calibri" w:cs="Times New Roman"/>
          <w:b/>
          <w:szCs w:val="20"/>
        </w:rPr>
        <w:t>Accounting Policy</w:t>
      </w:r>
    </w:p>
    <w:p w14:paraId="30E0A1EE" w14:textId="77777777" w:rsidR="000251CF" w:rsidRPr="000251CF" w:rsidRDefault="000251CF" w:rsidP="000251CF">
      <w:pPr>
        <w:spacing w:before="0" w:after="120"/>
        <w:rPr>
          <w:rFonts w:ascii="Calibri" w:eastAsia="Calibri" w:hAnsi="Calibri" w:cs="Times New Roman"/>
          <w:color w:val="363636"/>
          <w:lang w:eastAsia="en-AU"/>
        </w:rPr>
      </w:pPr>
      <w:r w:rsidRPr="000251CF">
        <w:rPr>
          <w:rFonts w:ascii="Calibri" w:eastAsia="Calibri" w:hAnsi="Calibri" w:cs="Times New Roman"/>
          <w:color w:val="363636"/>
          <w:lang w:eastAsia="en-AU"/>
        </w:rPr>
        <w:t>Accounting policies for employee benefit liabilities are disclosed in note 5.</w:t>
      </w:r>
    </w:p>
    <w:p w14:paraId="34B0E8A6" w14:textId="77777777" w:rsidR="000251CF" w:rsidRPr="000251CF" w:rsidRDefault="000251CF" w:rsidP="000251CF">
      <w:pPr>
        <w:spacing w:before="0"/>
        <w:ind w:left="284" w:hanging="284"/>
        <w:rPr>
          <w:rFonts w:ascii="Calibri" w:eastAsia="Calibri" w:hAnsi="Calibri" w:cs="Times New Roman"/>
          <w:b/>
          <w:color w:val="363636"/>
        </w:rPr>
      </w:pPr>
      <w:r w:rsidRPr="000251CF">
        <w:rPr>
          <w:rFonts w:ascii="Calibri" w:eastAsia="Calibri" w:hAnsi="Calibri" w:cs="Times New Roman"/>
          <w:b/>
          <w:color w:val="363636"/>
        </w:rPr>
        <w:t>Note 17:</w:t>
      </w:r>
    </w:p>
    <w:p w14:paraId="01DA0332" w14:textId="77777777" w:rsidR="000251CF" w:rsidRPr="000251CF" w:rsidRDefault="000251CF" w:rsidP="000251CF">
      <w:pPr>
        <w:spacing w:before="0"/>
        <w:ind w:left="284" w:hanging="284"/>
        <w:rPr>
          <w:rFonts w:ascii="Calibri" w:eastAsia="Calibri" w:hAnsi="Calibri" w:cs="Times New Roman"/>
          <w:color w:val="363636"/>
        </w:rPr>
      </w:pPr>
      <w:r w:rsidRPr="000251CF">
        <w:rPr>
          <w:rFonts w:ascii="Calibri" w:eastAsia="Calibri" w:hAnsi="Calibri" w:cs="Times New Roman"/>
          <w:b/>
          <w:bCs/>
          <w:lang w:eastAsia="en-AU"/>
        </w:rPr>
        <w:t>Financial Instruments</w:t>
      </w:r>
    </w:p>
    <w:p w14:paraId="23B9554E" w14:textId="77777777" w:rsidR="000251CF" w:rsidRPr="000251CF" w:rsidRDefault="000251CF" w:rsidP="000251CF">
      <w:pPr>
        <w:rPr>
          <w:rFonts w:ascii="Calibri" w:eastAsia="Calibri" w:hAnsi="Calibri" w:cs="Times New Roman"/>
          <w:color w:val="363636"/>
          <w:u w:val="single"/>
        </w:rPr>
      </w:pPr>
      <w:r w:rsidRPr="000251CF">
        <w:rPr>
          <w:rFonts w:ascii="Calibri" w:eastAsia="Calibri" w:hAnsi="Calibri" w:cs="Times New Roman"/>
          <w:color w:val="363636"/>
          <w:u w:val="single"/>
        </w:rPr>
        <w:t>Recognition</w:t>
      </w:r>
    </w:p>
    <w:p w14:paraId="180A5766"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Financial assets and financial liabilities are recognised in the Statement of Financial Position when the QCA becomes a party to the contractual provisions of the instrument.</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5FC7A82A" w14:textId="77777777" w:rsidR="000251CF" w:rsidRPr="000251CF" w:rsidRDefault="000251CF" w:rsidP="000251CF">
      <w:pPr>
        <w:rPr>
          <w:rFonts w:ascii="Calibri" w:eastAsia="Calibri" w:hAnsi="Calibri" w:cs="Times New Roman"/>
          <w:color w:val="363636"/>
          <w:u w:val="single"/>
        </w:rPr>
      </w:pPr>
      <w:r w:rsidRPr="000251CF">
        <w:rPr>
          <w:rFonts w:ascii="Calibri" w:eastAsia="Calibri" w:hAnsi="Calibri" w:cs="Times New Roman"/>
          <w:color w:val="363636"/>
          <w:u w:val="single"/>
        </w:rPr>
        <w:t>Classification</w:t>
      </w:r>
    </w:p>
    <w:p w14:paraId="098B315F"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The QCA's only financial assets and liabilities are as follows and they are measured at:</w:t>
      </w:r>
    </w:p>
    <w:p w14:paraId="3BF1C262" w14:textId="77777777" w:rsidR="000251CF" w:rsidRPr="000251CF" w:rsidRDefault="000251CF" w:rsidP="000251CF">
      <w:pPr>
        <w:numPr>
          <w:ilvl w:val="0"/>
          <w:numId w:val="39"/>
        </w:numPr>
        <w:spacing w:before="12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Cash and cash equivalents - held at amortised cost</w:t>
      </w:r>
    </w:p>
    <w:p w14:paraId="44BAFE45"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Receivables - held at amortised cost</w:t>
      </w:r>
    </w:p>
    <w:p w14:paraId="54B980A5" w14:textId="77777777" w:rsidR="000251CF" w:rsidRPr="000251CF" w:rsidRDefault="000251CF" w:rsidP="000251CF">
      <w:pPr>
        <w:numPr>
          <w:ilvl w:val="0"/>
          <w:numId w:val="39"/>
        </w:numPr>
        <w:spacing w:before="0" w:after="12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Payables - held at amortised cost</w:t>
      </w:r>
    </w:p>
    <w:p w14:paraId="6B892323"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The carrying amounts of trade receivables and payables approximate their fair value.</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0715F6D2"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No financial assets and financial liabilities have been offset and presented on a net basis in the Statement of Financial Position.</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70AA8890"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 xml:space="preserve">The QCA does not </w:t>
      </w:r>
      <w:proofErr w:type="gramStart"/>
      <w:r w:rsidRPr="000251CF">
        <w:rPr>
          <w:rFonts w:ascii="Calibri" w:eastAsia="Calibri" w:hAnsi="Calibri" w:cs="Times New Roman"/>
          <w:color w:val="363636"/>
        </w:rPr>
        <w:t>enter into</w:t>
      </w:r>
      <w:proofErr w:type="gramEnd"/>
      <w:r w:rsidRPr="000251CF">
        <w:rPr>
          <w:rFonts w:ascii="Calibri" w:eastAsia="Calibri" w:hAnsi="Calibri" w:cs="Times New Roman"/>
          <w:color w:val="363636"/>
        </w:rPr>
        <w:t>, or trade with, such instruments for speculative purposes, nor for hedging.</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5945F7F1" w14:textId="77777777" w:rsidR="000251CF" w:rsidRPr="000251CF" w:rsidRDefault="000251CF" w:rsidP="000251CF">
      <w:pPr>
        <w:spacing w:before="0"/>
        <w:ind w:left="284" w:hanging="284"/>
        <w:rPr>
          <w:rFonts w:ascii="Calibri" w:eastAsia="Calibri" w:hAnsi="Calibri" w:cs="Times New Roman"/>
          <w:b/>
          <w:color w:val="363636"/>
        </w:rPr>
      </w:pPr>
    </w:p>
    <w:p w14:paraId="6C45CDA9" w14:textId="77777777" w:rsidR="000251CF" w:rsidRPr="000251CF" w:rsidRDefault="000251CF" w:rsidP="000251CF">
      <w:pPr>
        <w:spacing w:before="0" w:after="0" w:line="240" w:lineRule="auto"/>
        <w:rPr>
          <w:rFonts w:ascii="Tahoma" w:eastAsia="Times New Roman" w:hAnsi="Tahoma" w:cs="Tahoma"/>
          <w:sz w:val="16"/>
          <w:szCs w:val="16"/>
        </w:rPr>
      </w:pPr>
    </w:p>
    <w:p w14:paraId="4CEFC8ED" w14:textId="77777777" w:rsidR="000251CF" w:rsidRPr="000251CF" w:rsidRDefault="000251CF" w:rsidP="000251CF">
      <w:pPr>
        <w:spacing w:before="0" w:after="0" w:line="240" w:lineRule="auto"/>
        <w:rPr>
          <w:rFonts w:ascii="Tahoma" w:eastAsia="Times New Roman" w:hAnsi="Tahoma" w:cs="Tahoma"/>
          <w:sz w:val="16"/>
          <w:szCs w:val="16"/>
        </w:rPr>
      </w:pPr>
      <w:r w:rsidRPr="000251CF">
        <w:rPr>
          <w:rFonts w:ascii="Tahoma" w:eastAsia="Times New Roman" w:hAnsi="Tahoma" w:cs="Tahoma"/>
          <w:sz w:val="16"/>
          <w:szCs w:val="16"/>
        </w:rPr>
        <w:br w:type="page"/>
      </w:r>
    </w:p>
    <w:p w14:paraId="25FC01BE"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lastRenderedPageBreak/>
        <w:t xml:space="preserve">Note 18: </w:t>
      </w:r>
    </w:p>
    <w:tbl>
      <w:tblPr>
        <w:tblW w:w="9102" w:type="dxa"/>
        <w:tblInd w:w="-30" w:type="dxa"/>
        <w:tblLayout w:type="fixed"/>
        <w:tblLook w:val="0000" w:firstRow="0" w:lastRow="0" w:firstColumn="0" w:lastColumn="0" w:noHBand="0" w:noVBand="0"/>
      </w:tblPr>
      <w:tblGrid>
        <w:gridCol w:w="1819"/>
        <w:gridCol w:w="982"/>
        <w:gridCol w:w="1058"/>
        <w:gridCol w:w="1087"/>
        <w:gridCol w:w="982"/>
        <w:gridCol w:w="1615"/>
        <w:gridCol w:w="1559"/>
      </w:tblGrid>
      <w:tr w:rsidR="000251CF" w:rsidRPr="000251CF" w14:paraId="42AABBAF" w14:textId="77777777" w:rsidTr="0088213C">
        <w:trPr>
          <w:trHeight w:val="142"/>
        </w:trPr>
        <w:tc>
          <w:tcPr>
            <w:tcW w:w="1819" w:type="dxa"/>
            <w:tcBorders>
              <w:top w:val="nil"/>
              <w:left w:val="nil"/>
              <w:bottom w:val="nil"/>
              <w:right w:val="nil"/>
            </w:tcBorders>
          </w:tcPr>
          <w:p w14:paraId="4FDBA11A"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Leases</w:t>
            </w:r>
          </w:p>
        </w:tc>
        <w:tc>
          <w:tcPr>
            <w:tcW w:w="982" w:type="dxa"/>
            <w:tcBorders>
              <w:top w:val="nil"/>
              <w:left w:val="nil"/>
              <w:bottom w:val="nil"/>
              <w:right w:val="nil"/>
            </w:tcBorders>
          </w:tcPr>
          <w:p w14:paraId="37C03C6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c>
          <w:tcPr>
            <w:tcW w:w="1058" w:type="dxa"/>
            <w:tcBorders>
              <w:top w:val="nil"/>
              <w:left w:val="nil"/>
              <w:bottom w:val="nil"/>
              <w:right w:val="nil"/>
            </w:tcBorders>
          </w:tcPr>
          <w:p w14:paraId="64DB4DE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c>
          <w:tcPr>
            <w:tcW w:w="1087" w:type="dxa"/>
            <w:tcBorders>
              <w:top w:val="nil"/>
              <w:left w:val="nil"/>
              <w:bottom w:val="nil"/>
              <w:right w:val="nil"/>
            </w:tcBorders>
          </w:tcPr>
          <w:p w14:paraId="4C499AF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c>
          <w:tcPr>
            <w:tcW w:w="982" w:type="dxa"/>
            <w:tcBorders>
              <w:top w:val="nil"/>
              <w:left w:val="nil"/>
              <w:bottom w:val="nil"/>
              <w:right w:val="nil"/>
            </w:tcBorders>
          </w:tcPr>
          <w:p w14:paraId="3ECB116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c>
          <w:tcPr>
            <w:tcW w:w="1615" w:type="dxa"/>
            <w:tcBorders>
              <w:top w:val="nil"/>
              <w:left w:val="nil"/>
              <w:bottom w:val="nil"/>
              <w:right w:val="nil"/>
            </w:tcBorders>
          </w:tcPr>
          <w:p w14:paraId="0F68940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c>
          <w:tcPr>
            <w:tcW w:w="1559" w:type="dxa"/>
            <w:tcBorders>
              <w:top w:val="nil"/>
              <w:left w:val="nil"/>
              <w:bottom w:val="nil"/>
              <w:right w:val="nil"/>
            </w:tcBorders>
          </w:tcPr>
          <w:p w14:paraId="3A03E666"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r>
      <w:tr w:rsidR="000251CF" w:rsidRPr="000251CF" w14:paraId="2C105344" w14:textId="77777777" w:rsidTr="0088213C">
        <w:trPr>
          <w:trHeight w:val="142"/>
        </w:trPr>
        <w:tc>
          <w:tcPr>
            <w:tcW w:w="1819" w:type="dxa"/>
            <w:tcBorders>
              <w:top w:val="nil"/>
              <w:left w:val="nil"/>
              <w:right w:val="nil"/>
            </w:tcBorders>
          </w:tcPr>
          <w:p w14:paraId="2AEF003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right w:val="nil"/>
            </w:tcBorders>
          </w:tcPr>
          <w:p w14:paraId="2DE911EE"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p>
        </w:tc>
        <w:tc>
          <w:tcPr>
            <w:tcW w:w="1058" w:type="dxa"/>
            <w:tcBorders>
              <w:top w:val="nil"/>
              <w:left w:val="nil"/>
              <w:right w:val="nil"/>
            </w:tcBorders>
          </w:tcPr>
          <w:p w14:paraId="6161B545"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right w:val="nil"/>
            </w:tcBorders>
          </w:tcPr>
          <w:p w14:paraId="7C7401C9"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right w:val="nil"/>
            </w:tcBorders>
          </w:tcPr>
          <w:p w14:paraId="0975878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615" w:type="dxa"/>
            <w:tcBorders>
              <w:top w:val="nil"/>
              <w:left w:val="nil"/>
              <w:right w:val="nil"/>
            </w:tcBorders>
            <w:shd w:val="solid" w:color="C0C0C0" w:fill="auto"/>
          </w:tcPr>
          <w:p w14:paraId="7CDD74F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2021</w:t>
            </w:r>
          </w:p>
        </w:tc>
        <w:tc>
          <w:tcPr>
            <w:tcW w:w="1559" w:type="dxa"/>
            <w:tcBorders>
              <w:top w:val="nil"/>
              <w:left w:val="nil"/>
              <w:right w:val="nil"/>
            </w:tcBorders>
            <w:shd w:val="solid" w:color="C0C0C0" w:fill="auto"/>
          </w:tcPr>
          <w:p w14:paraId="56DE5FDC"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2020</w:t>
            </w:r>
          </w:p>
        </w:tc>
      </w:tr>
      <w:tr w:rsidR="000251CF" w:rsidRPr="000251CF" w14:paraId="195DA71B" w14:textId="77777777" w:rsidTr="0088213C">
        <w:trPr>
          <w:trHeight w:val="142"/>
        </w:trPr>
        <w:tc>
          <w:tcPr>
            <w:tcW w:w="1819" w:type="dxa"/>
            <w:tcBorders>
              <w:top w:val="nil"/>
              <w:left w:val="nil"/>
              <w:bottom w:val="single" w:sz="6" w:space="0" w:color="auto"/>
              <w:right w:val="nil"/>
            </w:tcBorders>
          </w:tcPr>
          <w:p w14:paraId="0957111A"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982" w:type="dxa"/>
            <w:tcBorders>
              <w:top w:val="nil"/>
              <w:left w:val="nil"/>
              <w:bottom w:val="single" w:sz="6" w:space="0" w:color="auto"/>
              <w:right w:val="nil"/>
            </w:tcBorders>
          </w:tcPr>
          <w:p w14:paraId="6C37CB2A"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single" w:sz="6" w:space="0" w:color="auto"/>
              <w:right w:val="nil"/>
            </w:tcBorders>
          </w:tcPr>
          <w:p w14:paraId="3379F75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single" w:sz="6" w:space="0" w:color="auto"/>
              <w:right w:val="nil"/>
            </w:tcBorders>
          </w:tcPr>
          <w:p w14:paraId="6913238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single" w:sz="6" w:space="0" w:color="auto"/>
              <w:right w:val="nil"/>
            </w:tcBorders>
          </w:tcPr>
          <w:p w14:paraId="1E466768"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615" w:type="dxa"/>
            <w:tcBorders>
              <w:top w:val="nil"/>
              <w:left w:val="nil"/>
              <w:bottom w:val="single" w:sz="6" w:space="0" w:color="auto"/>
              <w:right w:val="nil"/>
            </w:tcBorders>
            <w:shd w:val="solid" w:color="C0C0C0" w:fill="auto"/>
          </w:tcPr>
          <w:p w14:paraId="0DF9BC34"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c>
          <w:tcPr>
            <w:tcW w:w="1559" w:type="dxa"/>
            <w:tcBorders>
              <w:top w:val="nil"/>
              <w:left w:val="nil"/>
              <w:bottom w:val="single" w:sz="6" w:space="0" w:color="auto"/>
              <w:right w:val="nil"/>
            </w:tcBorders>
            <w:shd w:val="solid" w:color="C0C0C0" w:fill="auto"/>
          </w:tcPr>
          <w:p w14:paraId="40B5CBF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w:t>
            </w:r>
          </w:p>
        </w:tc>
      </w:tr>
      <w:tr w:rsidR="000251CF" w:rsidRPr="000251CF" w14:paraId="11E80AC4" w14:textId="77777777" w:rsidTr="0088213C">
        <w:trPr>
          <w:trHeight w:val="142"/>
        </w:trPr>
        <w:tc>
          <w:tcPr>
            <w:tcW w:w="1819" w:type="dxa"/>
            <w:tcBorders>
              <w:top w:val="single" w:sz="6" w:space="0" w:color="auto"/>
              <w:left w:val="nil"/>
              <w:bottom w:val="nil"/>
              <w:right w:val="nil"/>
            </w:tcBorders>
          </w:tcPr>
          <w:p w14:paraId="38E0866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r w:rsidRPr="000251CF">
              <w:rPr>
                <w:rFonts w:ascii="Tahoma" w:eastAsia="Times New Roman" w:hAnsi="Tahoma" w:cs="Tahoma"/>
                <w:b/>
                <w:bCs/>
                <w:i/>
                <w:iCs/>
                <w:color w:val="000000"/>
                <w:sz w:val="16"/>
                <w:szCs w:val="16"/>
              </w:rPr>
              <w:t>Leases as lessor</w:t>
            </w:r>
          </w:p>
        </w:tc>
        <w:tc>
          <w:tcPr>
            <w:tcW w:w="982" w:type="dxa"/>
            <w:tcBorders>
              <w:top w:val="single" w:sz="6" w:space="0" w:color="auto"/>
              <w:left w:val="nil"/>
              <w:bottom w:val="nil"/>
              <w:right w:val="nil"/>
            </w:tcBorders>
          </w:tcPr>
          <w:p w14:paraId="189033B2"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1058" w:type="dxa"/>
            <w:tcBorders>
              <w:top w:val="single" w:sz="6" w:space="0" w:color="auto"/>
              <w:left w:val="nil"/>
              <w:bottom w:val="nil"/>
              <w:right w:val="nil"/>
            </w:tcBorders>
          </w:tcPr>
          <w:p w14:paraId="6F1C0230"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1087" w:type="dxa"/>
            <w:tcBorders>
              <w:top w:val="single" w:sz="6" w:space="0" w:color="auto"/>
              <w:left w:val="nil"/>
              <w:bottom w:val="nil"/>
              <w:right w:val="nil"/>
            </w:tcBorders>
          </w:tcPr>
          <w:p w14:paraId="208CD311"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982" w:type="dxa"/>
            <w:tcBorders>
              <w:top w:val="single" w:sz="6" w:space="0" w:color="auto"/>
              <w:left w:val="nil"/>
              <w:bottom w:val="nil"/>
              <w:right w:val="nil"/>
            </w:tcBorders>
          </w:tcPr>
          <w:p w14:paraId="5589EEBE"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i/>
                <w:iCs/>
                <w:color w:val="000000"/>
                <w:sz w:val="16"/>
                <w:szCs w:val="16"/>
              </w:rPr>
            </w:pPr>
          </w:p>
        </w:tc>
        <w:tc>
          <w:tcPr>
            <w:tcW w:w="1615" w:type="dxa"/>
            <w:tcBorders>
              <w:top w:val="single" w:sz="6" w:space="0" w:color="auto"/>
              <w:left w:val="nil"/>
              <w:bottom w:val="nil"/>
              <w:right w:val="nil"/>
            </w:tcBorders>
          </w:tcPr>
          <w:p w14:paraId="2798D860"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p>
        </w:tc>
        <w:tc>
          <w:tcPr>
            <w:tcW w:w="1559" w:type="dxa"/>
            <w:tcBorders>
              <w:top w:val="single" w:sz="6" w:space="0" w:color="auto"/>
              <w:left w:val="nil"/>
              <w:bottom w:val="nil"/>
              <w:right w:val="nil"/>
            </w:tcBorders>
          </w:tcPr>
          <w:p w14:paraId="2DB19D3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8"/>
                <w:szCs w:val="18"/>
              </w:rPr>
            </w:pPr>
          </w:p>
        </w:tc>
      </w:tr>
      <w:tr w:rsidR="000251CF" w:rsidRPr="000251CF" w14:paraId="67364F3C" w14:textId="77777777" w:rsidTr="0088213C">
        <w:trPr>
          <w:trHeight w:val="142"/>
        </w:trPr>
        <w:tc>
          <w:tcPr>
            <w:tcW w:w="9102" w:type="dxa"/>
            <w:gridSpan w:val="7"/>
            <w:tcBorders>
              <w:top w:val="nil"/>
              <w:left w:val="nil"/>
              <w:bottom w:val="nil"/>
              <w:right w:val="nil"/>
            </w:tcBorders>
          </w:tcPr>
          <w:p w14:paraId="0DF1A9E4"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Future sub-lease rentals not recognised in the financial statements</w:t>
            </w:r>
          </w:p>
          <w:p w14:paraId="0B0F5B82"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are receivable as follows:</w:t>
            </w:r>
          </w:p>
        </w:tc>
      </w:tr>
      <w:tr w:rsidR="000251CF" w:rsidRPr="000251CF" w14:paraId="51BCF2F7" w14:textId="77777777" w:rsidTr="0088213C">
        <w:trPr>
          <w:trHeight w:val="142"/>
        </w:trPr>
        <w:tc>
          <w:tcPr>
            <w:tcW w:w="3859" w:type="dxa"/>
            <w:gridSpan w:val="3"/>
            <w:tcBorders>
              <w:top w:val="nil"/>
              <w:left w:val="nil"/>
              <w:bottom w:val="nil"/>
              <w:right w:val="nil"/>
            </w:tcBorders>
          </w:tcPr>
          <w:p w14:paraId="298A95C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Not later than one year (inclusive of GST)</w:t>
            </w:r>
          </w:p>
        </w:tc>
        <w:tc>
          <w:tcPr>
            <w:tcW w:w="1087" w:type="dxa"/>
            <w:tcBorders>
              <w:top w:val="nil"/>
              <w:left w:val="nil"/>
              <w:bottom w:val="nil"/>
              <w:right w:val="nil"/>
            </w:tcBorders>
          </w:tcPr>
          <w:p w14:paraId="44A1AD9E"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p>
        </w:tc>
        <w:tc>
          <w:tcPr>
            <w:tcW w:w="982" w:type="dxa"/>
            <w:tcBorders>
              <w:top w:val="nil"/>
              <w:left w:val="nil"/>
              <w:bottom w:val="nil"/>
              <w:right w:val="nil"/>
            </w:tcBorders>
          </w:tcPr>
          <w:p w14:paraId="098E5F91"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615" w:type="dxa"/>
            <w:tcBorders>
              <w:top w:val="nil"/>
              <w:left w:val="nil"/>
              <w:bottom w:val="nil"/>
              <w:right w:val="nil"/>
            </w:tcBorders>
          </w:tcPr>
          <w:p w14:paraId="35F4F6FF"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145,601</w:t>
            </w:r>
          </w:p>
        </w:tc>
        <w:tc>
          <w:tcPr>
            <w:tcW w:w="1559" w:type="dxa"/>
            <w:tcBorders>
              <w:top w:val="nil"/>
              <w:left w:val="nil"/>
              <w:bottom w:val="nil"/>
              <w:right w:val="nil"/>
            </w:tcBorders>
          </w:tcPr>
          <w:p w14:paraId="11B46CC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554,106</w:t>
            </w:r>
          </w:p>
        </w:tc>
      </w:tr>
      <w:tr w:rsidR="000251CF" w:rsidRPr="000251CF" w14:paraId="5243D11A" w14:textId="77777777" w:rsidTr="0088213C">
        <w:trPr>
          <w:trHeight w:val="142"/>
        </w:trPr>
        <w:tc>
          <w:tcPr>
            <w:tcW w:w="5928" w:type="dxa"/>
            <w:gridSpan w:val="5"/>
            <w:tcBorders>
              <w:top w:val="nil"/>
              <w:left w:val="nil"/>
              <w:bottom w:val="nil"/>
              <w:right w:val="nil"/>
            </w:tcBorders>
          </w:tcPr>
          <w:p w14:paraId="58C1D92D" w14:textId="77777777" w:rsidR="000251CF" w:rsidRPr="000251CF" w:rsidRDefault="000251CF" w:rsidP="000251CF">
            <w:pPr>
              <w:autoSpaceDE w:val="0"/>
              <w:autoSpaceDN w:val="0"/>
              <w:adjustRightInd w:val="0"/>
              <w:spacing w:before="0" w:after="0" w:line="240" w:lineRule="auto"/>
              <w:rPr>
                <w:rFonts w:ascii="Tahoma" w:eastAsia="Times New Roman" w:hAnsi="Tahoma" w:cs="Tahoma"/>
                <w:color w:val="000000"/>
                <w:sz w:val="16"/>
                <w:szCs w:val="16"/>
              </w:rPr>
            </w:pPr>
            <w:r w:rsidRPr="000251CF">
              <w:rPr>
                <w:rFonts w:ascii="Tahoma" w:eastAsia="Times New Roman" w:hAnsi="Tahoma" w:cs="Tahoma"/>
                <w:color w:val="000000"/>
                <w:sz w:val="16"/>
                <w:szCs w:val="16"/>
              </w:rPr>
              <w:t>Later than one year but not later than five years (inclusive of GST)</w:t>
            </w:r>
          </w:p>
        </w:tc>
        <w:tc>
          <w:tcPr>
            <w:tcW w:w="1615" w:type="dxa"/>
            <w:tcBorders>
              <w:top w:val="nil"/>
              <w:left w:val="nil"/>
              <w:bottom w:val="nil"/>
              <w:right w:val="nil"/>
            </w:tcBorders>
          </w:tcPr>
          <w:p w14:paraId="1FB57F52"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w:t>
            </w:r>
          </w:p>
        </w:tc>
        <w:tc>
          <w:tcPr>
            <w:tcW w:w="1559" w:type="dxa"/>
            <w:tcBorders>
              <w:top w:val="nil"/>
              <w:left w:val="nil"/>
              <w:bottom w:val="nil"/>
              <w:right w:val="nil"/>
            </w:tcBorders>
          </w:tcPr>
          <w:p w14:paraId="10E23CD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color w:val="000000"/>
                <w:sz w:val="16"/>
                <w:szCs w:val="16"/>
              </w:rPr>
            </w:pPr>
            <w:r w:rsidRPr="000251CF">
              <w:rPr>
                <w:rFonts w:ascii="Tahoma" w:eastAsia="Times New Roman" w:hAnsi="Tahoma" w:cs="Tahoma"/>
                <w:color w:val="000000"/>
                <w:sz w:val="16"/>
                <w:szCs w:val="16"/>
              </w:rPr>
              <w:t>145,601</w:t>
            </w:r>
          </w:p>
        </w:tc>
      </w:tr>
      <w:tr w:rsidR="000251CF" w:rsidRPr="000251CF" w14:paraId="4975031F" w14:textId="77777777" w:rsidTr="0088213C">
        <w:trPr>
          <w:trHeight w:val="142"/>
        </w:trPr>
        <w:tc>
          <w:tcPr>
            <w:tcW w:w="1819" w:type="dxa"/>
            <w:tcBorders>
              <w:top w:val="nil"/>
              <w:left w:val="nil"/>
              <w:bottom w:val="nil"/>
              <w:right w:val="nil"/>
            </w:tcBorders>
          </w:tcPr>
          <w:p w14:paraId="0EB9AE9C" w14:textId="77777777" w:rsidR="000251CF" w:rsidRPr="000251CF" w:rsidRDefault="000251CF" w:rsidP="000251CF">
            <w:pPr>
              <w:autoSpaceDE w:val="0"/>
              <w:autoSpaceDN w:val="0"/>
              <w:adjustRightInd w:val="0"/>
              <w:spacing w:before="0" w:after="0" w:line="240" w:lineRule="auto"/>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Total commitments</w:t>
            </w:r>
          </w:p>
        </w:tc>
        <w:tc>
          <w:tcPr>
            <w:tcW w:w="982" w:type="dxa"/>
            <w:tcBorders>
              <w:top w:val="nil"/>
              <w:left w:val="nil"/>
              <w:bottom w:val="nil"/>
              <w:right w:val="nil"/>
            </w:tcBorders>
          </w:tcPr>
          <w:p w14:paraId="046C5A3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58" w:type="dxa"/>
            <w:tcBorders>
              <w:top w:val="nil"/>
              <w:left w:val="nil"/>
              <w:bottom w:val="nil"/>
              <w:right w:val="nil"/>
            </w:tcBorders>
          </w:tcPr>
          <w:p w14:paraId="4BCC89CD"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1087" w:type="dxa"/>
            <w:tcBorders>
              <w:top w:val="nil"/>
              <w:left w:val="nil"/>
              <w:bottom w:val="nil"/>
              <w:right w:val="nil"/>
            </w:tcBorders>
          </w:tcPr>
          <w:p w14:paraId="00CF5751"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p>
        </w:tc>
        <w:tc>
          <w:tcPr>
            <w:tcW w:w="982" w:type="dxa"/>
            <w:tcBorders>
              <w:top w:val="nil"/>
              <w:left w:val="nil"/>
              <w:bottom w:val="nil"/>
              <w:right w:val="nil"/>
            </w:tcBorders>
          </w:tcPr>
          <w:p w14:paraId="2D5569BC" w14:textId="77777777" w:rsidR="000251CF" w:rsidRPr="000251CF" w:rsidRDefault="000251CF" w:rsidP="000251CF">
            <w:pPr>
              <w:autoSpaceDE w:val="0"/>
              <w:autoSpaceDN w:val="0"/>
              <w:adjustRightInd w:val="0"/>
              <w:spacing w:before="0" w:after="0" w:line="240" w:lineRule="auto"/>
              <w:jc w:val="right"/>
              <w:rPr>
                <w:rFonts w:ascii="Arial" w:eastAsia="Times New Roman" w:hAnsi="Arial" w:cs="Arial"/>
                <w:color w:val="000000"/>
                <w:sz w:val="18"/>
                <w:szCs w:val="18"/>
              </w:rPr>
            </w:pPr>
          </w:p>
        </w:tc>
        <w:tc>
          <w:tcPr>
            <w:tcW w:w="1615" w:type="dxa"/>
            <w:tcBorders>
              <w:top w:val="nil"/>
              <w:left w:val="nil"/>
              <w:bottom w:val="nil"/>
              <w:right w:val="nil"/>
            </w:tcBorders>
          </w:tcPr>
          <w:p w14:paraId="40C62AB0"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145,601</w:t>
            </w:r>
          </w:p>
        </w:tc>
        <w:tc>
          <w:tcPr>
            <w:tcW w:w="1559" w:type="dxa"/>
            <w:tcBorders>
              <w:top w:val="nil"/>
              <w:left w:val="nil"/>
              <w:bottom w:val="nil"/>
              <w:right w:val="nil"/>
            </w:tcBorders>
          </w:tcPr>
          <w:p w14:paraId="0D607BAB" w14:textId="77777777" w:rsidR="000251CF" w:rsidRPr="000251CF" w:rsidRDefault="000251CF" w:rsidP="000251CF">
            <w:pPr>
              <w:autoSpaceDE w:val="0"/>
              <w:autoSpaceDN w:val="0"/>
              <w:adjustRightInd w:val="0"/>
              <w:spacing w:before="0" w:after="0" w:line="240" w:lineRule="auto"/>
              <w:jc w:val="right"/>
              <w:rPr>
                <w:rFonts w:ascii="Tahoma" w:eastAsia="Times New Roman" w:hAnsi="Tahoma" w:cs="Tahoma"/>
                <w:b/>
                <w:bCs/>
                <w:color w:val="000000"/>
                <w:sz w:val="16"/>
                <w:szCs w:val="16"/>
              </w:rPr>
            </w:pPr>
            <w:r w:rsidRPr="000251CF">
              <w:rPr>
                <w:rFonts w:ascii="Tahoma" w:eastAsia="Times New Roman" w:hAnsi="Tahoma" w:cs="Tahoma"/>
                <w:b/>
                <w:bCs/>
                <w:color w:val="000000"/>
                <w:sz w:val="16"/>
                <w:szCs w:val="16"/>
              </w:rPr>
              <w:t>699,707</w:t>
            </w:r>
          </w:p>
        </w:tc>
      </w:tr>
    </w:tbl>
    <w:p w14:paraId="2905985A" w14:textId="77777777" w:rsidR="000251CF" w:rsidRPr="000251CF" w:rsidRDefault="000251CF" w:rsidP="000251CF">
      <w:pPr>
        <w:spacing w:before="120" w:after="120"/>
        <w:rPr>
          <w:rFonts w:ascii="Calibri" w:eastAsia="Calibri" w:hAnsi="Calibri" w:cs="Times New Roman"/>
          <w:color w:val="363636"/>
        </w:rPr>
      </w:pPr>
      <w:r w:rsidRPr="000251CF">
        <w:rPr>
          <w:rFonts w:ascii="Calibri" w:eastAsia="Calibri" w:hAnsi="Calibri" w:cs="Times New Roman"/>
          <w:color w:val="363636"/>
        </w:rPr>
        <w:t>Part of the offices occupied by the QCA are subject to a sub-lease with the Queensland Productivity Commission (which became part of Queensland Treasury on 2 June 2021) which expires on 30 September 2021. The lease is calculated with annual increases of 4.25%. There are no options beyond the expiry date.</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56B2713C" w14:textId="77777777" w:rsidR="000251CF" w:rsidRPr="000251CF" w:rsidRDefault="000251CF" w:rsidP="000251CF">
      <w:pPr>
        <w:spacing w:before="0" w:after="0" w:line="240" w:lineRule="auto"/>
        <w:rPr>
          <w:rFonts w:ascii="Calibri" w:eastAsia="Times New Roman" w:hAnsi="Calibri" w:cs="Times New Roman"/>
          <w:b/>
          <w:szCs w:val="20"/>
        </w:rPr>
      </w:pPr>
      <w:r w:rsidRPr="000251CF">
        <w:rPr>
          <w:rFonts w:ascii="Calibri" w:eastAsia="Times New Roman" w:hAnsi="Calibri" w:cs="Times New Roman"/>
          <w:b/>
          <w:szCs w:val="20"/>
        </w:rPr>
        <w:t>Note 19:</w:t>
      </w:r>
    </w:p>
    <w:p w14:paraId="16AF0203" w14:textId="77777777" w:rsidR="000251CF" w:rsidRPr="000251CF" w:rsidRDefault="000251CF" w:rsidP="000251CF">
      <w:pPr>
        <w:spacing w:before="120" w:after="0" w:line="264" w:lineRule="auto"/>
        <w:jc w:val="both"/>
        <w:rPr>
          <w:rFonts w:ascii="Calibri" w:eastAsia="Times New Roman" w:hAnsi="Calibri" w:cs="Times New Roman"/>
          <w:b/>
          <w:bCs/>
          <w:szCs w:val="20"/>
        </w:rPr>
      </w:pPr>
      <w:r w:rsidRPr="000251CF">
        <w:rPr>
          <w:rFonts w:ascii="Calibri" w:eastAsia="Times New Roman" w:hAnsi="Calibri" w:cs="Times New Roman"/>
          <w:b/>
          <w:bCs/>
          <w:szCs w:val="20"/>
        </w:rPr>
        <w:t>Other Information</w:t>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r w:rsidRPr="000251CF">
        <w:rPr>
          <w:rFonts w:ascii="Calibri" w:eastAsia="Times New Roman" w:hAnsi="Calibri" w:cs="Times New Roman"/>
          <w:b/>
          <w:bCs/>
          <w:szCs w:val="20"/>
        </w:rPr>
        <w:tab/>
      </w:r>
    </w:p>
    <w:p w14:paraId="52ECE031" w14:textId="77777777" w:rsidR="000251CF" w:rsidRPr="000251CF" w:rsidRDefault="000251CF" w:rsidP="000251CF">
      <w:pPr>
        <w:spacing w:before="0" w:after="0" w:line="264" w:lineRule="auto"/>
        <w:jc w:val="both"/>
        <w:rPr>
          <w:rFonts w:ascii="Calibri" w:eastAsia="Times New Roman" w:hAnsi="Calibri" w:cs="Times New Roman"/>
          <w:szCs w:val="20"/>
          <w:u w:val="single"/>
        </w:rPr>
      </w:pPr>
      <w:r w:rsidRPr="000251CF">
        <w:rPr>
          <w:rFonts w:ascii="Calibri" w:eastAsia="Times New Roman" w:hAnsi="Calibri" w:cs="Times New Roman"/>
          <w:szCs w:val="20"/>
          <w:u w:val="single"/>
        </w:rPr>
        <w:t>Transactions with Owners as Owners</w:t>
      </w:r>
    </w:p>
    <w:p w14:paraId="64618CFE"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In the 2020 financial year a designation to transfer surplus cash of $4,500,000 to Queensland Treasury was received from the Treasurer of Queensland. This transfer reduced the balance of the QCA's Contributed Equity to $Nil. The remaining balance of $2,941,000 was offset against the QCA's accumulated surplus.</w:t>
      </w:r>
      <w:r w:rsidRPr="000251CF">
        <w:rPr>
          <w:rFonts w:ascii="Calibri" w:eastAsia="Calibri" w:hAnsi="Calibri" w:cs="Times New Roman"/>
          <w:color w:val="363636"/>
        </w:rPr>
        <w:tab/>
      </w:r>
      <w:r w:rsidRPr="000251CF">
        <w:rPr>
          <w:rFonts w:ascii="Calibri" w:eastAsia="Calibri" w:hAnsi="Calibri" w:cs="Times New Roman"/>
          <w:color w:val="363636"/>
        </w:rPr>
        <w:tab/>
      </w:r>
    </w:p>
    <w:p w14:paraId="0D6ADA46" w14:textId="77777777" w:rsidR="000251CF" w:rsidRPr="000251CF" w:rsidRDefault="000251CF" w:rsidP="000251CF">
      <w:pPr>
        <w:spacing w:before="120" w:after="0" w:line="264" w:lineRule="auto"/>
        <w:jc w:val="both"/>
        <w:rPr>
          <w:rFonts w:ascii="Calibri" w:eastAsia="Times New Roman" w:hAnsi="Calibri" w:cs="Times New Roman"/>
          <w:szCs w:val="20"/>
          <w:u w:val="single"/>
        </w:rPr>
      </w:pPr>
      <w:r w:rsidRPr="000251CF">
        <w:rPr>
          <w:rFonts w:ascii="Calibri" w:eastAsia="Times New Roman" w:hAnsi="Calibri" w:cs="Times New Roman"/>
          <w:szCs w:val="20"/>
          <w:u w:val="single"/>
        </w:rPr>
        <w:t>Taxation</w:t>
      </w:r>
    </w:p>
    <w:p w14:paraId="5744556B"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 xml:space="preserve">The activities of the QCA are exempt from Commonwealth taxation except for Fringe Benefits Tax (FBT) and Goods and Services Tax (GST).  Input tax credits receivable and GST payable from/to the Australian Taxation Office have been recognised in the Statement of Financial Position. </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738DC73B"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 xml:space="preserve">Revenues, </w:t>
      </w:r>
      <w:proofErr w:type="gramStart"/>
      <w:r w:rsidRPr="000251CF">
        <w:rPr>
          <w:rFonts w:ascii="Calibri" w:eastAsia="Calibri" w:hAnsi="Calibri" w:cs="Times New Roman"/>
          <w:color w:val="363636"/>
        </w:rPr>
        <w:t>expenses</w:t>
      </w:r>
      <w:proofErr w:type="gramEnd"/>
      <w:r w:rsidRPr="000251CF">
        <w:rPr>
          <w:rFonts w:ascii="Calibri" w:eastAsia="Calibri" w:hAnsi="Calibri" w:cs="Times New Roman"/>
          <w:color w:val="363636"/>
        </w:rPr>
        <w:t xml:space="preserve"> and assets are recognised net of the amount of GST, except where the amount of GST incurred is not recoverable from the Australian Taxation Office. In these circumstances the GST is recognised as part of the cost of acquisition of the asset or as part of an item of expense. Receivables and payables in the Statement of Financial Position are shown inclusive of GST.</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212108B7" w14:textId="77777777" w:rsidR="000251CF" w:rsidRPr="000251CF" w:rsidRDefault="000251CF" w:rsidP="000251CF">
      <w:pPr>
        <w:spacing w:before="120" w:after="0" w:line="264" w:lineRule="auto"/>
        <w:jc w:val="both"/>
        <w:rPr>
          <w:rFonts w:ascii="Calibri" w:eastAsia="Times New Roman" w:hAnsi="Calibri" w:cs="Times New Roman"/>
          <w:szCs w:val="20"/>
          <w:u w:val="single"/>
        </w:rPr>
      </w:pPr>
      <w:r w:rsidRPr="000251CF">
        <w:rPr>
          <w:rFonts w:ascii="Calibri" w:eastAsia="Times New Roman" w:hAnsi="Calibri" w:cs="Times New Roman"/>
          <w:szCs w:val="20"/>
          <w:u w:val="single"/>
        </w:rPr>
        <w:t>Key Accounting Estimates and Judgements</w:t>
      </w:r>
    </w:p>
    <w:p w14:paraId="0B5805B6"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The preparation of financial statements necessarily requires the determination and use of accounting estimates, assumptions, and management judgements that have the potential to cause a material impact on the carrying amounts of assets and liabilities within the next financial year. Such estimates, judgements and underlying assumptions are reviewed on an ongoing basis. Revisions to accounting estimates are recognised in the period in which the estimate is revised and in future periods as relevant.</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4ADFD78E" w14:textId="77777777" w:rsidR="000251CF" w:rsidRPr="000251CF" w:rsidRDefault="000251CF" w:rsidP="000251CF">
      <w:pPr>
        <w:rPr>
          <w:rFonts w:ascii="Calibri" w:eastAsia="Calibri" w:hAnsi="Calibri" w:cs="Times New Roman"/>
          <w:color w:val="363636"/>
        </w:rPr>
      </w:pPr>
      <w:r w:rsidRPr="000251CF">
        <w:rPr>
          <w:rFonts w:ascii="Calibri" w:eastAsia="Calibri" w:hAnsi="Calibri" w:cs="Times New Roman"/>
          <w:color w:val="363636"/>
        </w:rPr>
        <w:t>Estimates and assumptions that have a potential significant effect are included in the calculation of the following financial statement notes:</w:t>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r w:rsidRPr="000251CF">
        <w:rPr>
          <w:rFonts w:ascii="Calibri" w:eastAsia="Calibri" w:hAnsi="Calibri" w:cs="Times New Roman"/>
          <w:color w:val="363636"/>
        </w:rPr>
        <w:tab/>
      </w:r>
    </w:p>
    <w:p w14:paraId="085D4485" w14:textId="77777777" w:rsidR="000251CF" w:rsidRPr="000251CF" w:rsidRDefault="000251CF" w:rsidP="000251CF">
      <w:pPr>
        <w:numPr>
          <w:ilvl w:val="0"/>
          <w:numId w:val="39"/>
        </w:numPr>
        <w:spacing w:before="12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Accrued Fee Income—note 12</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7D1A654D"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Depreciation—note 13</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78AD23A5"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Right of Use Assets and Liabilities—note 14</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253D67B4"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Accrued Expenses—note 15</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3FC03A7C"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Accrued Fee Expenses—note 15</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4C907592" w14:textId="77777777" w:rsidR="000251CF" w:rsidRPr="000251CF" w:rsidRDefault="000251CF" w:rsidP="000251CF">
      <w:pPr>
        <w:numPr>
          <w:ilvl w:val="0"/>
          <w:numId w:val="39"/>
        </w:numPr>
        <w:spacing w:before="0" w:after="0" w:line="264" w:lineRule="auto"/>
        <w:ind w:left="284" w:hanging="284"/>
        <w:rPr>
          <w:rFonts w:ascii="Calibri" w:eastAsia="Times New Roman" w:hAnsi="Calibri" w:cs="Times New Roman"/>
          <w:szCs w:val="20"/>
        </w:rPr>
      </w:pPr>
      <w:r w:rsidRPr="000251CF">
        <w:rPr>
          <w:rFonts w:ascii="Calibri" w:eastAsia="Times New Roman" w:hAnsi="Calibri" w:cs="Times New Roman"/>
          <w:szCs w:val="20"/>
        </w:rPr>
        <w:t>Accrued Employee Benefits—note 16</w:t>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r w:rsidRPr="000251CF">
        <w:rPr>
          <w:rFonts w:ascii="Calibri" w:eastAsia="Times New Roman" w:hAnsi="Calibri" w:cs="Times New Roman"/>
          <w:szCs w:val="20"/>
        </w:rPr>
        <w:tab/>
      </w:r>
    </w:p>
    <w:p w14:paraId="5CFB49AA" w14:textId="77777777" w:rsidR="000251CF" w:rsidRPr="000251CF" w:rsidRDefault="000251CF" w:rsidP="000251CF">
      <w:pPr>
        <w:spacing w:before="120" w:after="0" w:line="264" w:lineRule="auto"/>
        <w:jc w:val="both"/>
        <w:rPr>
          <w:rFonts w:ascii="Calibri" w:eastAsia="Times New Roman" w:hAnsi="Calibri" w:cs="Times New Roman"/>
          <w:szCs w:val="20"/>
          <w:u w:val="single"/>
        </w:rPr>
      </w:pPr>
      <w:r w:rsidRPr="000251CF">
        <w:rPr>
          <w:rFonts w:ascii="Calibri" w:eastAsia="Times New Roman" w:hAnsi="Calibri" w:cs="Times New Roman"/>
          <w:szCs w:val="20"/>
          <w:u w:val="single"/>
        </w:rPr>
        <w:t>Impact of COVID 19</w:t>
      </w:r>
    </w:p>
    <w:p w14:paraId="2F45E09E" w14:textId="77777777" w:rsidR="000251CF" w:rsidRPr="000251CF" w:rsidRDefault="000251CF" w:rsidP="000251CF">
      <w:pPr>
        <w:rPr>
          <w:rFonts w:ascii="Calibri" w:eastAsia="Calibri" w:hAnsi="Calibri" w:cs="Times New Roman"/>
          <w:b/>
          <w:color w:val="363636"/>
        </w:rPr>
      </w:pPr>
      <w:r w:rsidRPr="000251CF">
        <w:rPr>
          <w:rFonts w:ascii="Calibri" w:eastAsia="Calibri" w:hAnsi="Calibri" w:cs="Times New Roman"/>
          <w:color w:val="363636"/>
        </w:rPr>
        <w:t xml:space="preserve">While we recognise the impact of COVID 19 at the State and National level, our ability to deliver services to government and our stakeholders have not been materially affected. Our customers and suppliers have continued to trade and through the use of appropriate technology our processes are sufficiently robust and allow our operations to continue through a mixture of office and </w:t>
      </w:r>
      <w:proofErr w:type="gramStart"/>
      <w:r w:rsidRPr="000251CF">
        <w:rPr>
          <w:rFonts w:ascii="Calibri" w:eastAsia="Calibri" w:hAnsi="Calibri" w:cs="Times New Roman"/>
          <w:color w:val="363636"/>
        </w:rPr>
        <w:t>home based</w:t>
      </w:r>
      <w:proofErr w:type="gramEnd"/>
      <w:r w:rsidRPr="000251CF">
        <w:rPr>
          <w:rFonts w:ascii="Calibri" w:eastAsia="Calibri" w:hAnsi="Calibri" w:cs="Times New Roman"/>
          <w:color w:val="363636"/>
        </w:rPr>
        <w:t xml:space="preserve"> activities. Whilst the current environment is quite fluid, given the size and scale of the entities we regulate and the strength of the supply chains we all utilise, we are confident viable future operations can be maintained by stakeholders and the QCA.</w:t>
      </w:r>
      <w:r w:rsidRPr="000251CF">
        <w:rPr>
          <w:rFonts w:ascii="Calibri" w:eastAsia="Calibri" w:hAnsi="Calibri" w:cs="Times New Roman"/>
          <w:color w:val="363636"/>
        </w:rPr>
        <w:tab/>
      </w:r>
    </w:p>
    <w:p w14:paraId="0191C6BE" w14:textId="77777777" w:rsidR="000251CF" w:rsidRDefault="000251CF" w:rsidP="00EF65F4">
      <w:pPr>
        <w:rPr>
          <w:rStyle w:val="QCABold"/>
        </w:rPr>
      </w:pPr>
    </w:p>
    <w:p w14:paraId="5D8B5EA7" w14:textId="3DEB2907" w:rsidR="00EF65F4" w:rsidRPr="006B0530" w:rsidRDefault="00EF65F4" w:rsidP="00EF65F4">
      <w:pPr>
        <w:rPr>
          <w:rStyle w:val="QCABold"/>
        </w:rPr>
      </w:pPr>
      <w:r w:rsidRPr="006B0530">
        <w:rPr>
          <w:rStyle w:val="QCABold"/>
        </w:rPr>
        <w:tab/>
      </w:r>
      <w:r w:rsidRPr="006B0530">
        <w:rPr>
          <w:rStyle w:val="QCABold"/>
        </w:rPr>
        <w:tab/>
      </w:r>
      <w:r w:rsidRPr="006B0530">
        <w:rPr>
          <w:rStyle w:val="QCABold"/>
        </w:rPr>
        <w:tab/>
      </w:r>
      <w:r w:rsidRPr="006B0530">
        <w:rPr>
          <w:rStyle w:val="QCABold"/>
        </w:rPr>
        <w:tab/>
      </w:r>
      <w:r w:rsidRPr="006B0530">
        <w:rPr>
          <w:rStyle w:val="QCABold"/>
        </w:rPr>
        <w:tab/>
      </w:r>
      <w:r w:rsidRPr="006B0530">
        <w:rPr>
          <w:rStyle w:val="QCABold"/>
        </w:rPr>
        <w:tab/>
      </w:r>
      <w:r w:rsidRPr="006B0530">
        <w:rPr>
          <w:rStyle w:val="QCABold"/>
        </w:rPr>
        <w:tab/>
      </w:r>
    </w:p>
    <w:p w14:paraId="4F9D5BEE" w14:textId="6637881A" w:rsidR="00133C9F" w:rsidRDefault="00133C9F">
      <w:pPr>
        <w:spacing w:before="0" w:after="160" w:line="259" w:lineRule="auto"/>
        <w:rPr>
          <w:rFonts w:ascii="Calibri Light" w:eastAsiaTheme="majorEastAsia" w:hAnsi="Calibri Light" w:cstheme="majorBidi"/>
          <w:caps/>
          <w:color w:val="00A1E4"/>
          <w:spacing w:val="100"/>
          <w:sz w:val="28"/>
          <w:szCs w:val="60"/>
          <w:highlight w:val="yellow"/>
        </w:rPr>
      </w:pPr>
      <w:r>
        <w:rPr>
          <w:highlight w:val="yellow"/>
        </w:rPr>
        <w:br w:type="page"/>
      </w:r>
    </w:p>
    <w:p w14:paraId="6CA691FF" w14:textId="7CE3F0E4" w:rsidR="00DD461D" w:rsidRPr="00D737C9" w:rsidRDefault="00A74B74" w:rsidP="00DD461D">
      <w:pPr>
        <w:pStyle w:val="Heading2"/>
      </w:pPr>
      <w:bookmarkStart w:id="236" w:name="_Toc80792972"/>
      <w:r w:rsidRPr="0029437F">
        <w:lastRenderedPageBreak/>
        <w:t xml:space="preserve">Certificate of </w:t>
      </w:r>
      <w:r w:rsidR="00844A8C" w:rsidRPr="0029437F">
        <w:t>Q</w:t>
      </w:r>
      <w:r w:rsidRPr="0029437F">
        <w:t xml:space="preserve">ueensland </w:t>
      </w:r>
      <w:r w:rsidR="00844A8C" w:rsidRPr="0029437F">
        <w:t>C</w:t>
      </w:r>
      <w:r w:rsidRPr="0029437F">
        <w:t xml:space="preserve">ompetition </w:t>
      </w:r>
      <w:r w:rsidR="00844A8C" w:rsidRPr="0029437F">
        <w:t>A</w:t>
      </w:r>
      <w:r w:rsidRPr="0029437F">
        <w:t>uthority</w:t>
      </w:r>
      <w:bookmarkEnd w:id="233"/>
      <w:bookmarkEnd w:id="234"/>
      <w:bookmarkEnd w:id="235"/>
      <w:bookmarkEnd w:id="236"/>
    </w:p>
    <w:p w14:paraId="20DB7FF8" w14:textId="517F87A9" w:rsidR="00ED00C4" w:rsidRDefault="00ED00C4" w:rsidP="00063A5A">
      <w:pPr>
        <w:pStyle w:val="QCABodyText"/>
        <w:tabs>
          <w:tab w:val="right" w:pos="9639"/>
        </w:tabs>
        <w:rPr>
          <w:sz w:val="18"/>
          <w:szCs w:val="18"/>
        </w:rPr>
      </w:pPr>
    </w:p>
    <w:p w14:paraId="6A6ECB84" w14:textId="77777777" w:rsidR="000251CF" w:rsidRPr="000251CF" w:rsidRDefault="000251CF" w:rsidP="000251CF">
      <w:pPr>
        <w:tabs>
          <w:tab w:val="right" w:pos="9639"/>
        </w:tabs>
        <w:rPr>
          <w:rFonts w:ascii="Calibri" w:eastAsia="Calibri" w:hAnsi="Calibri" w:cs="Times New Roman"/>
          <w:color w:val="363636"/>
        </w:rPr>
      </w:pPr>
      <w:r w:rsidRPr="000251CF">
        <w:rPr>
          <w:rFonts w:ascii="Calibri" w:eastAsia="Calibri" w:hAnsi="Calibri" w:cs="Times New Roman"/>
          <w:color w:val="363636"/>
        </w:rPr>
        <w:t xml:space="preserve">These </w:t>
      </w:r>
      <w:proofErr w:type="gramStart"/>
      <w:r w:rsidRPr="000251CF">
        <w:rPr>
          <w:rFonts w:ascii="Calibri" w:eastAsia="Calibri" w:hAnsi="Calibri" w:cs="Times New Roman"/>
          <w:color w:val="363636"/>
        </w:rPr>
        <w:t>general purpose</w:t>
      </w:r>
      <w:proofErr w:type="gramEnd"/>
      <w:r w:rsidRPr="000251CF">
        <w:rPr>
          <w:rFonts w:ascii="Calibri" w:eastAsia="Calibri" w:hAnsi="Calibri" w:cs="Times New Roman"/>
          <w:color w:val="363636"/>
        </w:rPr>
        <w:t xml:space="preserve"> financial statements have been prepared pursuant to s.62(1)(a) of the </w:t>
      </w:r>
      <w:r w:rsidRPr="000251CF">
        <w:rPr>
          <w:rFonts w:ascii="Calibri" w:eastAsia="Calibri" w:hAnsi="Calibri" w:cs="Times New Roman"/>
          <w:i/>
          <w:iCs/>
          <w:color w:val="363636"/>
        </w:rPr>
        <w:t>Financial Accountability Act 2009</w:t>
      </w:r>
      <w:r w:rsidRPr="000251CF">
        <w:rPr>
          <w:rFonts w:ascii="Calibri" w:eastAsia="Calibri" w:hAnsi="Calibri" w:cs="Times New Roman"/>
          <w:color w:val="363636"/>
        </w:rPr>
        <w:t xml:space="preserve"> (the Act), s. 39 of the </w:t>
      </w:r>
      <w:r w:rsidRPr="000251CF">
        <w:rPr>
          <w:rFonts w:ascii="Calibri" w:eastAsia="Calibri" w:hAnsi="Calibri" w:cs="Times New Roman"/>
          <w:i/>
          <w:iCs/>
          <w:color w:val="363636"/>
        </w:rPr>
        <w:t>Financial and Performance Management Standard 2019</w:t>
      </w:r>
      <w:r w:rsidRPr="000251CF">
        <w:rPr>
          <w:rFonts w:ascii="Calibri" w:eastAsia="Calibri" w:hAnsi="Calibri" w:cs="Times New Roman"/>
          <w:color w:val="363636"/>
        </w:rPr>
        <w:t>, and other prescribed requirements. In accordance with s.62(1)(b) of the Act we certify that in our opinion:</w:t>
      </w:r>
    </w:p>
    <w:p w14:paraId="378288A8" w14:textId="49A1AF3D" w:rsidR="000251CF" w:rsidRPr="000251CF" w:rsidRDefault="000251CF" w:rsidP="000251CF">
      <w:pPr>
        <w:tabs>
          <w:tab w:val="right" w:pos="9639"/>
        </w:tabs>
        <w:ind w:left="567" w:hanging="567"/>
        <w:rPr>
          <w:rFonts w:ascii="Calibri" w:eastAsia="Calibri" w:hAnsi="Calibri" w:cs="Times New Roman"/>
          <w:color w:val="363636"/>
        </w:rPr>
      </w:pPr>
      <w:r w:rsidRPr="000251CF">
        <w:rPr>
          <w:rFonts w:ascii="Calibri" w:eastAsia="Calibri" w:hAnsi="Calibri" w:cs="Times New Roman"/>
          <w:color w:val="363636"/>
        </w:rPr>
        <w:t>a)</w:t>
      </w:r>
      <w:r w:rsidRPr="000251CF">
        <w:rPr>
          <w:rFonts w:ascii="Calibri" w:eastAsia="Calibri" w:hAnsi="Calibri" w:cs="Times New Roman"/>
          <w:color w:val="363636"/>
        </w:rPr>
        <w:tab/>
        <w:t>the prescribed requirements for establishing and keeping the accounts have been complied with in all material respects; and</w:t>
      </w:r>
    </w:p>
    <w:p w14:paraId="25C1589E" w14:textId="214B56D7" w:rsidR="000251CF" w:rsidRPr="000251CF" w:rsidRDefault="000251CF" w:rsidP="000251CF">
      <w:pPr>
        <w:tabs>
          <w:tab w:val="right" w:pos="9639"/>
        </w:tabs>
        <w:ind w:left="567" w:hanging="567"/>
        <w:rPr>
          <w:rFonts w:ascii="Calibri" w:eastAsia="Calibri" w:hAnsi="Calibri" w:cs="Times New Roman"/>
          <w:color w:val="363636"/>
        </w:rPr>
      </w:pPr>
      <w:r w:rsidRPr="000251CF">
        <w:rPr>
          <w:rFonts w:ascii="Calibri" w:eastAsia="Calibri" w:hAnsi="Calibri" w:cs="Times New Roman"/>
          <w:color w:val="363636"/>
        </w:rPr>
        <w:t>b)</w:t>
      </w:r>
      <w:r w:rsidRPr="000251CF">
        <w:rPr>
          <w:rFonts w:ascii="Calibri" w:eastAsia="Calibri" w:hAnsi="Calibri" w:cs="Times New Roman"/>
          <w:color w:val="363636"/>
        </w:rPr>
        <w:tab/>
        <w:t>the financial statements have been drawn up to present a true and fair view, in accordance with prescribed accounting standards, of the transactions of the Queensland Competition Authority for the financial year ended 30 June 2021 and of the financial position of the Authority as at the end of that year.</w:t>
      </w:r>
    </w:p>
    <w:p w14:paraId="05717919" w14:textId="77777777" w:rsidR="000251CF" w:rsidRPr="000251CF" w:rsidRDefault="000251CF" w:rsidP="000251CF">
      <w:pPr>
        <w:tabs>
          <w:tab w:val="right" w:pos="9639"/>
        </w:tabs>
        <w:rPr>
          <w:rFonts w:ascii="Calibri" w:eastAsia="Calibri" w:hAnsi="Calibri" w:cs="Times New Roman"/>
          <w:color w:val="363636"/>
        </w:rPr>
      </w:pPr>
      <w:r w:rsidRPr="000251CF">
        <w:rPr>
          <w:rFonts w:ascii="Calibri" w:eastAsia="Calibri" w:hAnsi="Calibri" w:cs="Times New Roman"/>
          <w:color w:val="363636"/>
        </w:rPr>
        <w:t xml:space="preserve">We acknowledge responsibility under s.7 and s.11 of the </w:t>
      </w:r>
      <w:r w:rsidRPr="000251CF">
        <w:rPr>
          <w:rFonts w:ascii="Calibri" w:eastAsia="Calibri" w:hAnsi="Calibri" w:cs="Times New Roman"/>
          <w:i/>
          <w:iCs/>
          <w:color w:val="363636"/>
        </w:rPr>
        <w:t>Financial and Performance Management Standard 2019</w:t>
      </w:r>
      <w:r w:rsidRPr="000251CF">
        <w:rPr>
          <w:rFonts w:ascii="Calibri" w:eastAsia="Calibri" w:hAnsi="Calibri" w:cs="Times New Roman"/>
          <w:color w:val="363636"/>
        </w:rPr>
        <w:t xml:space="preserve"> for the establishment and maintenance, in all material respects, of an appropriate and effective system of internal controls and risk management processes with respect to financial reporting throughout the reporting period.</w:t>
      </w:r>
    </w:p>
    <w:p w14:paraId="248434CA" w14:textId="77777777" w:rsidR="000251CF" w:rsidRDefault="000251CF" w:rsidP="00063A5A">
      <w:pPr>
        <w:pStyle w:val="QCABodyText"/>
        <w:tabs>
          <w:tab w:val="right" w:pos="9639"/>
        </w:tabs>
        <w:rPr>
          <w:sz w:val="18"/>
          <w:szCs w:val="18"/>
        </w:rPr>
      </w:pPr>
    </w:p>
    <w:p w14:paraId="5A762B15" w14:textId="5C1A2698" w:rsidR="00DD461D" w:rsidRDefault="00B71BD9" w:rsidP="00A75582">
      <w:pPr>
        <w:pStyle w:val="QCABodyText"/>
        <w:tabs>
          <w:tab w:val="right" w:pos="8647"/>
        </w:tabs>
        <w:spacing w:before="240"/>
        <w:ind w:left="284"/>
      </w:pPr>
      <w:r>
        <w:rPr>
          <w:noProof/>
        </w:rPr>
        <w:drawing>
          <wp:inline distT="0" distB="0" distL="0" distR="0" wp14:anchorId="44103719" wp14:editId="4890C87C">
            <wp:extent cx="1676400" cy="634314"/>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80982" cy="636048"/>
                    </a:xfrm>
                    <a:prstGeom prst="rect">
                      <a:avLst/>
                    </a:prstGeom>
                  </pic:spPr>
                </pic:pic>
              </a:graphicData>
            </a:graphic>
          </wp:inline>
        </w:drawing>
      </w:r>
      <w:r w:rsidR="00D737C9">
        <w:tab/>
      </w:r>
      <w:r>
        <w:rPr>
          <w:noProof/>
        </w:rPr>
        <w:drawing>
          <wp:inline distT="0" distB="0" distL="0" distR="0" wp14:anchorId="72477772" wp14:editId="42396BC7">
            <wp:extent cx="1529080" cy="491977"/>
            <wp:effectExtent l="0" t="0" r="0" b="381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6265" cy="500724"/>
                    </a:xfrm>
                    <a:prstGeom prst="rect">
                      <a:avLst/>
                    </a:prstGeom>
                  </pic:spPr>
                </pic:pic>
              </a:graphicData>
            </a:graphic>
          </wp:inline>
        </w:drawing>
      </w:r>
    </w:p>
    <w:p w14:paraId="76DA8809" w14:textId="3B6D4787" w:rsidR="000251CF" w:rsidRDefault="000251CF" w:rsidP="00A75582">
      <w:pPr>
        <w:pStyle w:val="QCABodyText"/>
        <w:tabs>
          <w:tab w:val="right" w:pos="8647"/>
        </w:tabs>
        <w:spacing w:before="240"/>
        <w:ind w:left="284"/>
      </w:pPr>
      <w:r>
        <w:t>_____________________</w:t>
      </w:r>
      <w:r>
        <w:tab/>
        <w:t>_____________________</w:t>
      </w:r>
    </w:p>
    <w:p w14:paraId="2D03C897" w14:textId="7B5F132C" w:rsidR="00DD461D" w:rsidRPr="008A5281" w:rsidRDefault="004D249B" w:rsidP="00794EB1">
      <w:pPr>
        <w:pStyle w:val="QCABodyText"/>
        <w:tabs>
          <w:tab w:val="right" w:pos="8647"/>
        </w:tabs>
        <w:spacing w:before="240"/>
        <w:ind w:left="284"/>
        <w:rPr>
          <w:sz w:val="18"/>
          <w:szCs w:val="18"/>
        </w:rPr>
      </w:pPr>
      <w:r w:rsidRPr="004D249B">
        <w:rPr>
          <w:b/>
          <w:sz w:val="18"/>
          <w:szCs w:val="18"/>
        </w:rPr>
        <w:t>Chair</w:t>
      </w:r>
      <w:r w:rsidRPr="004D249B">
        <w:rPr>
          <w:sz w:val="18"/>
          <w:szCs w:val="18"/>
        </w:rPr>
        <w:tab/>
      </w:r>
      <w:r w:rsidRPr="004D249B">
        <w:rPr>
          <w:b/>
          <w:sz w:val="18"/>
          <w:szCs w:val="18"/>
        </w:rPr>
        <w:t>Chief Executive Officer</w:t>
      </w:r>
      <w:r w:rsidRPr="004D249B">
        <w:rPr>
          <w:sz w:val="18"/>
          <w:szCs w:val="18"/>
        </w:rPr>
        <w:br/>
      </w:r>
      <w:r w:rsidR="00EA4B53">
        <w:rPr>
          <w:sz w:val="18"/>
          <w:szCs w:val="18"/>
        </w:rPr>
        <w:t>F. Menezes</w:t>
      </w:r>
      <w:r w:rsidRPr="004D249B">
        <w:rPr>
          <w:sz w:val="18"/>
          <w:szCs w:val="18"/>
        </w:rPr>
        <w:tab/>
      </w:r>
      <w:r w:rsidR="00F808CE">
        <w:rPr>
          <w:sz w:val="18"/>
          <w:szCs w:val="18"/>
        </w:rPr>
        <w:t>C Millsteed</w:t>
      </w:r>
      <w:r w:rsidRPr="004D249B">
        <w:rPr>
          <w:sz w:val="18"/>
          <w:szCs w:val="18"/>
        </w:rPr>
        <w:br/>
      </w:r>
      <w:r w:rsidR="00ED00C4">
        <w:rPr>
          <w:sz w:val="16"/>
          <w:szCs w:val="16"/>
        </w:rPr>
        <w:t>PhD U of I</w:t>
      </w:r>
      <w:r w:rsidRPr="004D249B">
        <w:rPr>
          <w:sz w:val="18"/>
          <w:szCs w:val="18"/>
        </w:rPr>
        <w:tab/>
      </w:r>
      <w:proofErr w:type="spellStart"/>
      <w:r w:rsidR="00E57674">
        <w:rPr>
          <w:sz w:val="16"/>
          <w:szCs w:val="16"/>
        </w:rPr>
        <w:t>BEcon</w:t>
      </w:r>
      <w:proofErr w:type="spellEnd"/>
      <w:r w:rsidR="00E57674">
        <w:rPr>
          <w:sz w:val="16"/>
          <w:szCs w:val="16"/>
        </w:rPr>
        <w:t xml:space="preserve"> (Hons) BA</w:t>
      </w:r>
    </w:p>
    <w:p w14:paraId="05331105" w14:textId="1A8AE764" w:rsidR="00DD461D" w:rsidRPr="008A5281" w:rsidRDefault="00FC4324" w:rsidP="00723E72">
      <w:pPr>
        <w:pStyle w:val="QCABodyText"/>
        <w:tabs>
          <w:tab w:val="right" w:pos="8647"/>
        </w:tabs>
        <w:ind w:left="284"/>
        <w:rPr>
          <w:sz w:val="18"/>
          <w:szCs w:val="18"/>
        </w:rPr>
      </w:pPr>
      <w:r>
        <w:rPr>
          <w:sz w:val="18"/>
          <w:szCs w:val="18"/>
        </w:rPr>
        <w:t xml:space="preserve">19 </w:t>
      </w:r>
      <w:r w:rsidR="00872087">
        <w:rPr>
          <w:sz w:val="18"/>
          <w:szCs w:val="18"/>
        </w:rPr>
        <w:t>August 202</w:t>
      </w:r>
      <w:r>
        <w:rPr>
          <w:sz w:val="18"/>
          <w:szCs w:val="18"/>
        </w:rPr>
        <w:t>1</w:t>
      </w:r>
      <w:r w:rsidR="004D249B" w:rsidRPr="004D249B">
        <w:rPr>
          <w:sz w:val="18"/>
          <w:szCs w:val="18"/>
        </w:rPr>
        <w:tab/>
      </w:r>
      <w:r w:rsidR="002A4F59">
        <w:rPr>
          <w:sz w:val="18"/>
          <w:szCs w:val="18"/>
        </w:rPr>
        <w:t xml:space="preserve">     </w:t>
      </w:r>
      <w:r>
        <w:rPr>
          <w:sz w:val="18"/>
          <w:szCs w:val="18"/>
        </w:rPr>
        <w:t>19</w:t>
      </w:r>
      <w:r w:rsidR="00EF65F4">
        <w:rPr>
          <w:sz w:val="18"/>
          <w:szCs w:val="18"/>
        </w:rPr>
        <w:t xml:space="preserve"> </w:t>
      </w:r>
      <w:r w:rsidR="00872087">
        <w:rPr>
          <w:sz w:val="18"/>
          <w:szCs w:val="18"/>
        </w:rPr>
        <w:t>August 202</w:t>
      </w:r>
      <w:r>
        <w:rPr>
          <w:sz w:val="18"/>
          <w:szCs w:val="18"/>
        </w:rPr>
        <w:t>1</w:t>
      </w:r>
    </w:p>
    <w:p w14:paraId="13208DDD" w14:textId="77777777" w:rsidR="00DD461D" w:rsidRPr="00F41A88" w:rsidRDefault="00DD461D" w:rsidP="00DD461D">
      <w:pPr>
        <w:pStyle w:val="QCABodyText"/>
        <w:rPr>
          <w:highlight w:val="yellow"/>
        </w:rPr>
      </w:pPr>
    </w:p>
    <w:p w14:paraId="62EF0EBB" w14:textId="77777777" w:rsidR="00DD461D" w:rsidRDefault="00DD461D" w:rsidP="00DD461D">
      <w:pPr>
        <w:pStyle w:val="QCABodyText"/>
        <w:rPr>
          <w:highlight w:val="yellow"/>
        </w:rPr>
      </w:pPr>
    </w:p>
    <w:p w14:paraId="081505A9" w14:textId="77777777" w:rsidR="00447ED8" w:rsidRDefault="00447ED8" w:rsidP="00DD461D">
      <w:pPr>
        <w:pStyle w:val="QCABodyText"/>
        <w:rPr>
          <w:highlight w:val="yellow"/>
        </w:rPr>
      </w:pPr>
    </w:p>
    <w:p w14:paraId="2986E330" w14:textId="77777777" w:rsidR="00447ED8" w:rsidRDefault="00447ED8" w:rsidP="00DD461D">
      <w:pPr>
        <w:pStyle w:val="QCABodyText"/>
        <w:rPr>
          <w:highlight w:val="yellow"/>
        </w:rPr>
      </w:pPr>
    </w:p>
    <w:p w14:paraId="36C66428" w14:textId="77777777" w:rsidR="00447ED8" w:rsidRDefault="00447ED8" w:rsidP="00DD461D">
      <w:pPr>
        <w:pStyle w:val="QCABodyText"/>
        <w:rPr>
          <w:highlight w:val="yellow"/>
        </w:rPr>
      </w:pPr>
    </w:p>
    <w:p w14:paraId="73FD2373" w14:textId="77777777" w:rsidR="00447ED8" w:rsidRDefault="00447ED8" w:rsidP="00DD461D">
      <w:pPr>
        <w:pStyle w:val="QCABodyText"/>
        <w:rPr>
          <w:highlight w:val="yellow"/>
        </w:rPr>
      </w:pPr>
    </w:p>
    <w:p w14:paraId="5145F993" w14:textId="77777777" w:rsidR="00447ED8" w:rsidRDefault="00447ED8" w:rsidP="00DD461D">
      <w:pPr>
        <w:pStyle w:val="QCABodyText"/>
        <w:rPr>
          <w:highlight w:val="yellow"/>
        </w:rPr>
      </w:pPr>
    </w:p>
    <w:p w14:paraId="04844D8E" w14:textId="77777777" w:rsidR="00447ED8" w:rsidRDefault="00447ED8" w:rsidP="00DD461D">
      <w:pPr>
        <w:pStyle w:val="QCABodyText"/>
        <w:rPr>
          <w:highlight w:val="yellow"/>
        </w:rPr>
      </w:pPr>
    </w:p>
    <w:p w14:paraId="629FE932" w14:textId="77777777" w:rsidR="00447ED8" w:rsidRDefault="00447ED8" w:rsidP="00DD461D">
      <w:pPr>
        <w:pStyle w:val="QCABodyText"/>
        <w:rPr>
          <w:highlight w:val="yellow"/>
        </w:rPr>
      </w:pPr>
    </w:p>
    <w:p w14:paraId="2BC20E3D" w14:textId="77777777" w:rsidR="00447ED8" w:rsidRDefault="00447ED8" w:rsidP="00DD461D">
      <w:pPr>
        <w:pStyle w:val="QCABodyText"/>
        <w:rPr>
          <w:highlight w:val="yellow"/>
        </w:rPr>
      </w:pPr>
    </w:p>
    <w:p w14:paraId="4EA9034A" w14:textId="77777777" w:rsidR="00447ED8" w:rsidRDefault="00447ED8" w:rsidP="00DD461D">
      <w:pPr>
        <w:pStyle w:val="QCABodyText"/>
        <w:rPr>
          <w:highlight w:val="yellow"/>
        </w:rPr>
      </w:pPr>
    </w:p>
    <w:p w14:paraId="44F01283" w14:textId="77777777" w:rsidR="00447ED8" w:rsidRDefault="00447ED8" w:rsidP="00DD461D">
      <w:pPr>
        <w:pStyle w:val="QCABodyText"/>
        <w:rPr>
          <w:highlight w:val="yellow"/>
        </w:rPr>
      </w:pPr>
    </w:p>
    <w:p w14:paraId="49030341" w14:textId="77777777" w:rsidR="00447ED8" w:rsidRDefault="00447ED8" w:rsidP="00DD461D">
      <w:pPr>
        <w:pStyle w:val="QCABodyText"/>
        <w:rPr>
          <w:highlight w:val="yellow"/>
        </w:rPr>
      </w:pPr>
    </w:p>
    <w:p w14:paraId="13A0C263" w14:textId="77777777" w:rsidR="00447ED8" w:rsidRDefault="00447ED8" w:rsidP="00DD461D">
      <w:pPr>
        <w:pStyle w:val="QCABodyText"/>
        <w:rPr>
          <w:highlight w:val="yellow"/>
        </w:rPr>
      </w:pPr>
    </w:p>
    <w:p w14:paraId="194E076A" w14:textId="77777777" w:rsidR="00447ED8" w:rsidRDefault="00447ED8" w:rsidP="00DD461D">
      <w:pPr>
        <w:pStyle w:val="QCABodyText"/>
        <w:rPr>
          <w:highlight w:val="yellow"/>
        </w:rPr>
      </w:pPr>
    </w:p>
    <w:p w14:paraId="617F30DE" w14:textId="77777777" w:rsidR="00447ED8" w:rsidRDefault="00447ED8" w:rsidP="00DD461D">
      <w:pPr>
        <w:pStyle w:val="QCABodyText"/>
        <w:rPr>
          <w:highlight w:val="yellow"/>
        </w:rPr>
      </w:pPr>
    </w:p>
    <w:p w14:paraId="678299CD" w14:textId="77777777" w:rsidR="00447ED8" w:rsidRDefault="00447ED8" w:rsidP="00DD461D">
      <w:pPr>
        <w:pStyle w:val="QCABodyText"/>
        <w:rPr>
          <w:highlight w:val="yellow"/>
        </w:rPr>
      </w:pPr>
    </w:p>
    <w:p w14:paraId="18532F8E" w14:textId="77777777" w:rsidR="00447ED8" w:rsidRDefault="00447ED8" w:rsidP="00DD461D">
      <w:pPr>
        <w:pStyle w:val="QCABodyText"/>
        <w:rPr>
          <w:highlight w:val="yellow"/>
        </w:rPr>
      </w:pPr>
    </w:p>
    <w:p w14:paraId="4A542B82" w14:textId="77777777" w:rsidR="00447ED8" w:rsidRDefault="00447ED8" w:rsidP="00DD461D">
      <w:pPr>
        <w:pStyle w:val="QCABodyText"/>
        <w:rPr>
          <w:highlight w:val="yellow"/>
        </w:rPr>
      </w:pPr>
    </w:p>
    <w:p w14:paraId="1A15FAA9" w14:textId="77777777" w:rsidR="00447ED8" w:rsidRDefault="00447ED8" w:rsidP="00DD461D">
      <w:pPr>
        <w:pStyle w:val="QCABodyText"/>
        <w:rPr>
          <w:highlight w:val="yellow"/>
        </w:rPr>
      </w:pPr>
    </w:p>
    <w:p w14:paraId="583DF677" w14:textId="22EC74E1" w:rsidR="00447ED8" w:rsidRDefault="00C552C4" w:rsidP="00DD461D">
      <w:pPr>
        <w:pStyle w:val="QCABodyText"/>
        <w:rPr>
          <w:highlight w:val="yellow"/>
        </w:rPr>
      </w:pPr>
      <w:r w:rsidRPr="001E6681">
        <w:tab/>
      </w:r>
      <w:r w:rsidRPr="001E6681">
        <w:tab/>
      </w:r>
      <w:r w:rsidRPr="001E6681">
        <w:tab/>
      </w:r>
      <w:r w:rsidRPr="001E6681">
        <w:tab/>
      </w:r>
      <w:r w:rsidRPr="001E6681">
        <w:tab/>
      </w:r>
      <w:r w:rsidRPr="001E6681">
        <w:tab/>
      </w:r>
      <w:r w:rsidRPr="001E6681">
        <w:tab/>
      </w:r>
      <w:r w:rsidRPr="001E6681">
        <w:tab/>
      </w:r>
      <w:r w:rsidRPr="001E6681">
        <w:tab/>
      </w:r>
      <w:r w:rsidRPr="001E6681">
        <w:tab/>
      </w:r>
    </w:p>
    <w:p w14:paraId="5C252199" w14:textId="77777777" w:rsidR="00447ED8" w:rsidRPr="00F41A88" w:rsidRDefault="00447ED8" w:rsidP="00DD461D">
      <w:pPr>
        <w:pStyle w:val="QCABodyText"/>
        <w:rPr>
          <w:highlight w:val="yellow"/>
        </w:rPr>
      </w:pPr>
    </w:p>
    <w:p w14:paraId="1786D9C7" w14:textId="77777777" w:rsidR="00442178" w:rsidRDefault="00442178">
      <w:pPr>
        <w:spacing w:before="0" w:after="160" w:line="259" w:lineRule="auto"/>
        <w:jc w:val="right"/>
        <w:rPr>
          <w:highlight w:val="yellow"/>
        </w:rPr>
      </w:pPr>
    </w:p>
    <w:p w14:paraId="2B5D700D" w14:textId="384299BC" w:rsidR="00DD461D" w:rsidRDefault="00C942DD">
      <w:pPr>
        <w:pStyle w:val="Heading2"/>
      </w:pPr>
      <w:r w:rsidRPr="00C942DD">
        <w:rPr>
          <w:highlight w:val="yellow"/>
        </w:rPr>
        <w:br w:type="page"/>
      </w:r>
      <w:bookmarkStart w:id="237" w:name="_Toc487532151"/>
      <w:bookmarkStart w:id="238" w:name="_Toc487614528"/>
      <w:bookmarkStart w:id="239" w:name="_Toc520282170"/>
      <w:bookmarkStart w:id="240" w:name="_Toc80792973"/>
      <w:r w:rsidR="005B2062" w:rsidRPr="00794EB1">
        <w:lastRenderedPageBreak/>
        <w:t>Independent auditor’s report</w:t>
      </w:r>
      <w:bookmarkEnd w:id="237"/>
      <w:bookmarkEnd w:id="238"/>
      <w:bookmarkEnd w:id="239"/>
      <w:bookmarkEnd w:id="240"/>
    </w:p>
    <w:p w14:paraId="6E109A02" w14:textId="6CCA1160" w:rsidR="001D0973" w:rsidRPr="001D0973" w:rsidRDefault="00D0045B" w:rsidP="001D0973">
      <w:pPr>
        <w:pStyle w:val="QCABodyText"/>
      </w:pPr>
      <w:r>
        <w:rPr>
          <w:noProof/>
        </w:rPr>
        <w:drawing>
          <wp:inline distT="0" distB="0" distL="0" distR="0" wp14:anchorId="3E4BE40D" wp14:editId="6B8F6ECE">
            <wp:extent cx="6120130" cy="865378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14:paraId="6B53CD2B" w14:textId="63056E12" w:rsidR="0076349C" w:rsidRDefault="0076349C" w:rsidP="00B54467">
      <w:bookmarkStart w:id="241" w:name="OLE_LINK1"/>
      <w:bookmarkStart w:id="242" w:name="OLE_LINK2"/>
    </w:p>
    <w:p w14:paraId="3E48406A" w14:textId="63DDD58E" w:rsidR="0076349C" w:rsidRDefault="00D0045B" w:rsidP="00B54467">
      <w:r>
        <w:rPr>
          <w:noProof/>
        </w:rPr>
        <w:lastRenderedPageBreak/>
        <w:drawing>
          <wp:inline distT="0" distB="0" distL="0" distR="0" wp14:anchorId="50569169" wp14:editId="28350534">
            <wp:extent cx="6120130" cy="865378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14:paraId="71BA61C4" w14:textId="693CCA75" w:rsidR="0076349C" w:rsidRDefault="0076349C" w:rsidP="00B54467"/>
    <w:p w14:paraId="322477AF" w14:textId="625C8B11" w:rsidR="0076349C" w:rsidRDefault="0076349C" w:rsidP="00B54467"/>
    <w:p w14:paraId="323718C0" w14:textId="730D5BB5" w:rsidR="00B54467" w:rsidRPr="00F41A88" w:rsidRDefault="00D0045B" w:rsidP="00B54467">
      <w:pPr>
        <w:rPr>
          <w:highlight w:val="yellow"/>
        </w:rPr>
      </w:pPr>
      <w:r>
        <w:rPr>
          <w:noProof/>
        </w:rPr>
        <w:lastRenderedPageBreak/>
        <w:drawing>
          <wp:inline distT="0" distB="0" distL="0" distR="0" wp14:anchorId="62841E52" wp14:editId="036DB7EB">
            <wp:extent cx="6120130" cy="865378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bookmarkEnd w:id="241"/>
    <w:bookmarkEnd w:id="242"/>
    <w:p w14:paraId="06BD551F" w14:textId="77777777" w:rsidR="00F167E3" w:rsidRPr="004416CF" w:rsidRDefault="00F167E3" w:rsidP="00B54467">
      <w:pPr>
        <w:spacing w:line="240" w:lineRule="auto"/>
        <w:jc w:val="both"/>
      </w:pPr>
    </w:p>
    <w:p w14:paraId="287731CC" w14:textId="77777777" w:rsidR="008D4EDC" w:rsidRPr="004416CF" w:rsidRDefault="008D4EDC" w:rsidP="008D4EDC">
      <w:pPr>
        <w:spacing w:before="0" w:after="160" w:line="259" w:lineRule="auto"/>
        <w:rPr>
          <w:color w:val="3B3838" w:themeColor="background2" w:themeShade="40"/>
        </w:rPr>
        <w:sectPr w:rsidR="008D4EDC" w:rsidRPr="004416CF" w:rsidSect="004058E9">
          <w:pgSz w:w="11907" w:h="16840" w:code="9"/>
          <w:pgMar w:top="1361" w:right="851" w:bottom="1021" w:left="1418" w:header="510" w:footer="170" w:gutter="0"/>
          <w:cols w:space="720"/>
          <w:docGrid w:linePitch="272"/>
        </w:sectPr>
      </w:pPr>
    </w:p>
    <w:p w14:paraId="7FBE2709" w14:textId="2BA7F0A8" w:rsidR="00856422" w:rsidRPr="00A269C4" w:rsidRDefault="00C942DD" w:rsidP="00731D6C">
      <w:pPr>
        <w:pStyle w:val="Heading1"/>
        <w:pBdr>
          <w:bottom w:val="single" w:sz="4" w:space="1" w:color="auto"/>
        </w:pBdr>
      </w:pPr>
      <w:bookmarkStart w:id="243" w:name="_Toc487614529"/>
      <w:bookmarkStart w:id="244" w:name="_Toc520282171"/>
      <w:bookmarkStart w:id="245" w:name="_Toc80792974"/>
      <w:bookmarkEnd w:id="190"/>
      <w:r w:rsidRPr="00EE5F5F">
        <w:lastRenderedPageBreak/>
        <w:t>Glossary</w:t>
      </w:r>
      <w:bookmarkEnd w:id="243"/>
      <w:bookmarkEnd w:id="244"/>
      <w:bookmarkEnd w:id="245"/>
    </w:p>
    <w:tbl>
      <w:tblPr>
        <w:tblW w:w="9639" w:type="dxa"/>
        <w:tblBorders>
          <w:insideH w:val="dotted" w:sz="4" w:space="0" w:color="58595B"/>
        </w:tblBorders>
        <w:shd w:val="clear" w:color="auto" w:fill="F4F0E6"/>
        <w:tblCellMar>
          <w:bottom w:w="28" w:type="dxa"/>
        </w:tblCellMar>
        <w:tblLook w:val="06A0" w:firstRow="1" w:lastRow="0" w:firstColumn="1" w:lastColumn="0" w:noHBand="1" w:noVBand="1"/>
      </w:tblPr>
      <w:tblGrid>
        <w:gridCol w:w="2079"/>
        <w:gridCol w:w="7560"/>
      </w:tblGrid>
      <w:tr w:rsidR="00A335BA" w:rsidRPr="004416CF" w14:paraId="316F2FC2" w14:textId="77777777" w:rsidTr="00241A24">
        <w:trPr>
          <w:trHeight w:hRule="exact" w:val="397"/>
          <w:tblHeader/>
        </w:trPr>
        <w:tc>
          <w:tcPr>
            <w:tcW w:w="2079" w:type="dxa"/>
            <w:tcBorders>
              <w:top w:val="nil"/>
              <w:bottom w:val="single" w:sz="4" w:space="0" w:color="auto"/>
            </w:tcBorders>
            <w:shd w:val="clear" w:color="auto" w:fill="C0C0C0"/>
          </w:tcPr>
          <w:p w14:paraId="3CEC92DC" w14:textId="77777777" w:rsidR="00A335BA" w:rsidRPr="004416CF" w:rsidRDefault="00A335BA" w:rsidP="00FD70B5">
            <w:pPr>
              <w:pStyle w:val="QCATableHeading"/>
              <w:spacing w:before="0" w:after="0"/>
            </w:pPr>
            <w:r w:rsidRPr="004416CF">
              <w:t>Term</w:t>
            </w:r>
          </w:p>
        </w:tc>
        <w:tc>
          <w:tcPr>
            <w:tcW w:w="7560" w:type="dxa"/>
            <w:tcBorders>
              <w:top w:val="nil"/>
              <w:bottom w:val="single" w:sz="4" w:space="0" w:color="auto"/>
            </w:tcBorders>
            <w:shd w:val="clear" w:color="auto" w:fill="C0C0C0"/>
          </w:tcPr>
          <w:p w14:paraId="5ACACEDF" w14:textId="77777777" w:rsidR="00A335BA" w:rsidRPr="004416CF" w:rsidRDefault="00A335BA" w:rsidP="00FD70B5">
            <w:pPr>
              <w:pStyle w:val="QCATableHeading"/>
              <w:spacing w:before="0" w:after="0"/>
            </w:pPr>
            <w:r w:rsidRPr="004416CF">
              <w:t>Definition</w:t>
            </w:r>
          </w:p>
        </w:tc>
      </w:tr>
      <w:tr w:rsidR="00FE3B06" w:rsidRPr="004416CF" w14:paraId="5D4019E7" w14:textId="77777777" w:rsidTr="00241A24">
        <w:trPr>
          <w:trHeight w:hRule="exact" w:val="397"/>
        </w:trPr>
        <w:tc>
          <w:tcPr>
            <w:tcW w:w="2079" w:type="dxa"/>
            <w:tcBorders>
              <w:top w:val="single" w:sz="4" w:space="0" w:color="auto"/>
              <w:bottom w:val="nil"/>
            </w:tcBorders>
            <w:shd w:val="clear" w:color="auto" w:fill="auto"/>
          </w:tcPr>
          <w:p w14:paraId="2053B803" w14:textId="08369912" w:rsidR="00FE3B06" w:rsidRDefault="00FE3B06" w:rsidP="00FD70B5">
            <w:pPr>
              <w:pStyle w:val="QCATableText"/>
              <w:spacing w:before="0"/>
            </w:pPr>
            <w:r w:rsidRPr="00FE3B06">
              <w:t>ACCC</w:t>
            </w:r>
          </w:p>
        </w:tc>
        <w:tc>
          <w:tcPr>
            <w:tcW w:w="7560" w:type="dxa"/>
            <w:tcBorders>
              <w:top w:val="single" w:sz="4" w:space="0" w:color="auto"/>
              <w:bottom w:val="nil"/>
            </w:tcBorders>
            <w:shd w:val="clear" w:color="auto" w:fill="auto"/>
          </w:tcPr>
          <w:p w14:paraId="46C70CBA" w14:textId="01713425" w:rsidR="00FE3B06" w:rsidRDefault="00FE3B06" w:rsidP="00FD70B5">
            <w:pPr>
              <w:pStyle w:val="QCATableText"/>
              <w:spacing w:before="0"/>
            </w:pPr>
            <w:r w:rsidRPr="00FE3B06">
              <w:t>Australian Competition and Consumer Commission</w:t>
            </w:r>
          </w:p>
        </w:tc>
      </w:tr>
      <w:tr w:rsidR="00FE1205" w:rsidRPr="004416CF" w14:paraId="13A77381" w14:textId="77777777" w:rsidTr="00241A24">
        <w:trPr>
          <w:trHeight w:hRule="exact" w:val="397"/>
        </w:trPr>
        <w:tc>
          <w:tcPr>
            <w:tcW w:w="2079" w:type="dxa"/>
            <w:tcBorders>
              <w:top w:val="nil"/>
              <w:bottom w:val="dotted" w:sz="4" w:space="0" w:color="58595B"/>
            </w:tcBorders>
            <w:shd w:val="clear" w:color="auto" w:fill="auto"/>
          </w:tcPr>
          <w:p w14:paraId="38259E00" w14:textId="77AE37DC" w:rsidR="00FE1205" w:rsidRPr="00FE3B06" w:rsidRDefault="00FE1205" w:rsidP="00FD70B5">
            <w:pPr>
              <w:pStyle w:val="QCATableText"/>
              <w:spacing w:before="0"/>
            </w:pPr>
            <w:r>
              <w:t>AEMC</w:t>
            </w:r>
          </w:p>
        </w:tc>
        <w:tc>
          <w:tcPr>
            <w:tcW w:w="7560" w:type="dxa"/>
            <w:tcBorders>
              <w:top w:val="nil"/>
              <w:bottom w:val="dotted" w:sz="4" w:space="0" w:color="58595B"/>
            </w:tcBorders>
            <w:shd w:val="clear" w:color="auto" w:fill="auto"/>
          </w:tcPr>
          <w:p w14:paraId="162B3BF2" w14:textId="1E1E4FC4" w:rsidR="00FE1205" w:rsidRPr="00FE3B06" w:rsidRDefault="00EA26E8" w:rsidP="00FD70B5">
            <w:pPr>
              <w:pStyle w:val="QCATableText"/>
              <w:spacing w:before="0"/>
            </w:pPr>
            <w:r>
              <w:t>Australian Energy Market Commission</w:t>
            </w:r>
          </w:p>
        </w:tc>
      </w:tr>
      <w:tr w:rsidR="00FE3B06" w:rsidRPr="004416CF" w14:paraId="207A8120" w14:textId="77777777" w:rsidTr="007348D8">
        <w:trPr>
          <w:trHeight w:hRule="exact" w:val="397"/>
        </w:trPr>
        <w:tc>
          <w:tcPr>
            <w:tcW w:w="2079" w:type="dxa"/>
            <w:tcBorders>
              <w:top w:val="dotted" w:sz="4" w:space="0" w:color="auto"/>
              <w:bottom w:val="dotted" w:sz="4" w:space="0" w:color="58595B"/>
            </w:tcBorders>
            <w:shd w:val="clear" w:color="auto" w:fill="auto"/>
          </w:tcPr>
          <w:p w14:paraId="65468820" w14:textId="0EFAD832" w:rsidR="00FE3B06" w:rsidRDefault="00FE3B06" w:rsidP="00FD70B5">
            <w:pPr>
              <w:pStyle w:val="QCATableText"/>
              <w:spacing w:before="0"/>
            </w:pPr>
            <w:r>
              <w:t>CQCN</w:t>
            </w:r>
          </w:p>
        </w:tc>
        <w:tc>
          <w:tcPr>
            <w:tcW w:w="7560" w:type="dxa"/>
            <w:tcBorders>
              <w:top w:val="dotted" w:sz="4" w:space="0" w:color="auto"/>
              <w:bottom w:val="dotted" w:sz="4" w:space="0" w:color="58595B"/>
            </w:tcBorders>
            <w:shd w:val="clear" w:color="auto" w:fill="auto"/>
          </w:tcPr>
          <w:p w14:paraId="5DE11F4C" w14:textId="3C25A376" w:rsidR="00FE3B06" w:rsidRDefault="00FE3B06" w:rsidP="00FD70B5">
            <w:pPr>
              <w:pStyle w:val="QCATableText"/>
              <w:spacing w:before="0"/>
            </w:pPr>
            <w:r>
              <w:t>Central Queensland coal network</w:t>
            </w:r>
          </w:p>
        </w:tc>
      </w:tr>
      <w:tr w:rsidR="00A335BA" w:rsidRPr="004416CF" w14:paraId="32B9B9C3" w14:textId="77777777" w:rsidTr="007348D8">
        <w:trPr>
          <w:trHeight w:hRule="exact" w:val="397"/>
        </w:trPr>
        <w:tc>
          <w:tcPr>
            <w:tcW w:w="2079" w:type="dxa"/>
            <w:tcBorders>
              <w:top w:val="dotted" w:sz="4" w:space="0" w:color="58595B"/>
            </w:tcBorders>
            <w:shd w:val="clear" w:color="auto" w:fill="auto"/>
          </w:tcPr>
          <w:p w14:paraId="566C1CD5" w14:textId="77777777" w:rsidR="00A335BA" w:rsidRPr="004416CF" w:rsidRDefault="006C7AAD" w:rsidP="00FD70B5">
            <w:pPr>
              <w:pStyle w:val="QCATableText"/>
              <w:spacing w:before="0"/>
            </w:pPr>
            <w:r>
              <w:t>DAAU</w:t>
            </w:r>
          </w:p>
        </w:tc>
        <w:tc>
          <w:tcPr>
            <w:tcW w:w="7560" w:type="dxa"/>
            <w:tcBorders>
              <w:top w:val="dotted" w:sz="4" w:space="0" w:color="58595B"/>
            </w:tcBorders>
            <w:shd w:val="clear" w:color="auto" w:fill="auto"/>
          </w:tcPr>
          <w:p w14:paraId="0C9B0920" w14:textId="1212BA85" w:rsidR="00A335BA" w:rsidRPr="004416CF" w:rsidRDefault="000E7D6A" w:rsidP="00FD70B5">
            <w:pPr>
              <w:pStyle w:val="QCATableText"/>
              <w:spacing w:before="0"/>
            </w:pPr>
            <w:r>
              <w:t>d</w:t>
            </w:r>
            <w:r w:rsidR="006C7AAD">
              <w:t>raft amending access undertaking</w:t>
            </w:r>
          </w:p>
        </w:tc>
      </w:tr>
      <w:tr w:rsidR="002A66A5" w:rsidRPr="004416CF" w14:paraId="074D2421" w14:textId="77777777" w:rsidTr="007348D8">
        <w:trPr>
          <w:trHeight w:hRule="exact" w:val="397"/>
        </w:trPr>
        <w:tc>
          <w:tcPr>
            <w:tcW w:w="2079" w:type="dxa"/>
            <w:shd w:val="clear" w:color="auto" w:fill="auto"/>
          </w:tcPr>
          <w:p w14:paraId="1A183CF7" w14:textId="77777777" w:rsidR="00A335BA" w:rsidRPr="004416CF" w:rsidRDefault="006C7AAD" w:rsidP="00FD70B5">
            <w:pPr>
              <w:pStyle w:val="QCATableText"/>
              <w:spacing w:before="0"/>
            </w:pPr>
            <w:r>
              <w:t>DAU</w:t>
            </w:r>
          </w:p>
        </w:tc>
        <w:tc>
          <w:tcPr>
            <w:tcW w:w="7560" w:type="dxa"/>
            <w:shd w:val="clear" w:color="auto" w:fill="auto"/>
          </w:tcPr>
          <w:p w14:paraId="2EE7A261" w14:textId="738A4E50" w:rsidR="00A335BA" w:rsidRPr="004416CF" w:rsidRDefault="000E7D6A">
            <w:pPr>
              <w:pStyle w:val="QCATableText"/>
              <w:spacing w:before="0"/>
            </w:pPr>
            <w:r>
              <w:t>d</w:t>
            </w:r>
            <w:r w:rsidR="006C7AAD">
              <w:t>raft access undertaking</w:t>
            </w:r>
          </w:p>
        </w:tc>
      </w:tr>
      <w:tr w:rsidR="006C7AAD" w:rsidRPr="004416CF" w14:paraId="4F9EB978" w14:textId="77777777" w:rsidTr="007348D8">
        <w:trPr>
          <w:trHeight w:hRule="exact" w:val="397"/>
        </w:trPr>
        <w:tc>
          <w:tcPr>
            <w:tcW w:w="2079" w:type="dxa"/>
            <w:shd w:val="clear" w:color="auto" w:fill="auto"/>
          </w:tcPr>
          <w:p w14:paraId="356FC501" w14:textId="77777777" w:rsidR="006C7AAD" w:rsidRDefault="006C7AAD" w:rsidP="00FD70B5">
            <w:pPr>
              <w:pStyle w:val="QCATableText"/>
              <w:spacing w:before="0"/>
            </w:pPr>
            <w:r>
              <w:t>DBCT</w:t>
            </w:r>
          </w:p>
        </w:tc>
        <w:tc>
          <w:tcPr>
            <w:tcW w:w="7560" w:type="dxa"/>
            <w:shd w:val="clear" w:color="auto" w:fill="auto"/>
          </w:tcPr>
          <w:p w14:paraId="1BE587FD" w14:textId="77777777" w:rsidR="006C7AAD" w:rsidRDefault="006C7AAD" w:rsidP="00FD70B5">
            <w:pPr>
              <w:pStyle w:val="QCATableText"/>
              <w:spacing w:before="0"/>
            </w:pPr>
            <w:r>
              <w:t>Dalrymple Bay Coal Terminal</w:t>
            </w:r>
          </w:p>
        </w:tc>
      </w:tr>
      <w:tr w:rsidR="00FE3B06" w:rsidRPr="004416CF" w14:paraId="593BC9DA" w14:textId="77777777" w:rsidTr="007348D8">
        <w:trPr>
          <w:trHeight w:hRule="exact" w:val="397"/>
        </w:trPr>
        <w:tc>
          <w:tcPr>
            <w:tcW w:w="2079" w:type="dxa"/>
            <w:shd w:val="clear" w:color="auto" w:fill="auto"/>
          </w:tcPr>
          <w:p w14:paraId="591DD23B" w14:textId="2BF1DDA9" w:rsidR="00FE3B06" w:rsidRDefault="00CF2258" w:rsidP="00FD70B5">
            <w:pPr>
              <w:pStyle w:val="QCATableText"/>
              <w:spacing w:before="0"/>
            </w:pPr>
            <w:r>
              <w:t>DBIM</w:t>
            </w:r>
          </w:p>
        </w:tc>
        <w:tc>
          <w:tcPr>
            <w:tcW w:w="7560" w:type="dxa"/>
            <w:shd w:val="clear" w:color="auto" w:fill="auto"/>
          </w:tcPr>
          <w:p w14:paraId="6817198B" w14:textId="78D15BB5" w:rsidR="00FE3B06" w:rsidRPr="007348D8" w:rsidRDefault="00526B86" w:rsidP="00FD70B5">
            <w:pPr>
              <w:pStyle w:val="QCATableText"/>
              <w:spacing w:before="0"/>
            </w:pPr>
            <w:r>
              <w:t xml:space="preserve">Dalrymple Bay </w:t>
            </w:r>
            <w:r w:rsidR="00FE1205">
              <w:t>Infrastructure Management Pty Ltd</w:t>
            </w:r>
          </w:p>
        </w:tc>
      </w:tr>
      <w:tr w:rsidR="00E33C52" w:rsidRPr="004416CF" w14:paraId="52687D83" w14:textId="77777777" w:rsidTr="007348D8">
        <w:trPr>
          <w:trHeight w:hRule="exact" w:val="397"/>
        </w:trPr>
        <w:tc>
          <w:tcPr>
            <w:tcW w:w="2079" w:type="dxa"/>
            <w:shd w:val="clear" w:color="auto" w:fill="auto"/>
          </w:tcPr>
          <w:p w14:paraId="0B16E12E" w14:textId="2F79082F" w:rsidR="00E33C52" w:rsidRDefault="00E33C52" w:rsidP="00FD70B5">
            <w:pPr>
              <w:pStyle w:val="QCATableText"/>
              <w:spacing w:before="0"/>
            </w:pPr>
            <w:r>
              <w:t>Electricity Act</w:t>
            </w:r>
          </w:p>
        </w:tc>
        <w:tc>
          <w:tcPr>
            <w:tcW w:w="7560" w:type="dxa"/>
            <w:shd w:val="clear" w:color="auto" w:fill="auto"/>
          </w:tcPr>
          <w:p w14:paraId="07C95903" w14:textId="61C1C678" w:rsidR="00E33C52" w:rsidRPr="004C5122" w:rsidRDefault="00E33C52" w:rsidP="00FD70B5">
            <w:pPr>
              <w:pStyle w:val="QCATableText"/>
              <w:spacing w:before="0"/>
              <w:rPr>
                <w:i/>
              </w:rPr>
            </w:pPr>
            <w:r w:rsidRPr="004C5122">
              <w:rPr>
                <w:i/>
              </w:rPr>
              <w:t>Electricity Act 1994</w:t>
            </w:r>
          </w:p>
        </w:tc>
      </w:tr>
      <w:tr w:rsidR="001E7F91" w:rsidRPr="004416CF" w14:paraId="58AC8F36" w14:textId="77777777" w:rsidTr="007348D8">
        <w:trPr>
          <w:trHeight w:hRule="exact" w:val="397"/>
        </w:trPr>
        <w:tc>
          <w:tcPr>
            <w:tcW w:w="2079" w:type="dxa"/>
            <w:shd w:val="clear" w:color="auto" w:fill="auto"/>
          </w:tcPr>
          <w:p w14:paraId="36FBD9C9" w14:textId="3F724E36" w:rsidR="001E7F91" w:rsidRDefault="001E7F91" w:rsidP="00FD70B5">
            <w:pPr>
              <w:pStyle w:val="QCATableText"/>
              <w:spacing w:before="0"/>
            </w:pPr>
            <w:r>
              <w:t>HRA</w:t>
            </w:r>
          </w:p>
        </w:tc>
        <w:tc>
          <w:tcPr>
            <w:tcW w:w="7560" w:type="dxa"/>
            <w:shd w:val="clear" w:color="auto" w:fill="auto"/>
          </w:tcPr>
          <w:p w14:paraId="76DEB401" w14:textId="70FBE5D8" w:rsidR="001E7F91" w:rsidRPr="00EE5F5F" w:rsidRDefault="001E7F91" w:rsidP="00FD70B5">
            <w:pPr>
              <w:pStyle w:val="QCATableText"/>
              <w:spacing w:before="0"/>
              <w:rPr>
                <w:i/>
              </w:rPr>
            </w:pPr>
            <w:r w:rsidRPr="00EE5F5F">
              <w:rPr>
                <w:i/>
              </w:rPr>
              <w:t>Human Rights Act 2019</w:t>
            </w:r>
          </w:p>
        </w:tc>
      </w:tr>
      <w:tr w:rsidR="000F1666" w:rsidRPr="004416CF" w14:paraId="2EE9EFCC" w14:textId="77777777" w:rsidTr="0041668A">
        <w:trPr>
          <w:trHeight w:hRule="exact" w:val="397"/>
        </w:trPr>
        <w:tc>
          <w:tcPr>
            <w:tcW w:w="2079" w:type="dxa"/>
            <w:shd w:val="clear" w:color="auto" w:fill="auto"/>
          </w:tcPr>
          <w:p w14:paraId="72E2371A" w14:textId="6003E253" w:rsidR="000F1666" w:rsidRDefault="000F1666" w:rsidP="00FD70B5">
            <w:pPr>
              <w:pStyle w:val="QCATableText"/>
              <w:spacing w:before="0"/>
            </w:pPr>
            <w:r>
              <w:t>IPART</w:t>
            </w:r>
          </w:p>
        </w:tc>
        <w:tc>
          <w:tcPr>
            <w:tcW w:w="7560" w:type="dxa"/>
            <w:shd w:val="clear" w:color="auto" w:fill="auto"/>
          </w:tcPr>
          <w:p w14:paraId="6B68CF69" w14:textId="2C870406" w:rsidR="000F1666" w:rsidRDefault="000F1666" w:rsidP="00FD70B5">
            <w:pPr>
              <w:pStyle w:val="QCATableText"/>
              <w:spacing w:before="0"/>
            </w:pPr>
            <w:r>
              <w:t>Independent Pricing and Regulatory Tribunal</w:t>
            </w:r>
          </w:p>
        </w:tc>
      </w:tr>
      <w:tr w:rsidR="00AC7B09" w:rsidRPr="004416CF" w14:paraId="30FBFE52" w14:textId="77777777" w:rsidTr="0041668A">
        <w:trPr>
          <w:trHeight w:hRule="exact" w:val="397"/>
        </w:trPr>
        <w:tc>
          <w:tcPr>
            <w:tcW w:w="2079" w:type="dxa"/>
            <w:shd w:val="clear" w:color="auto" w:fill="auto"/>
          </w:tcPr>
          <w:p w14:paraId="4CCDA932" w14:textId="3DA18886" w:rsidR="00AC7B09" w:rsidRDefault="000F1666" w:rsidP="000F1666">
            <w:pPr>
              <w:pStyle w:val="QCATableText"/>
              <w:spacing w:before="0"/>
            </w:pPr>
            <w:r>
              <w:t>KPI</w:t>
            </w:r>
          </w:p>
        </w:tc>
        <w:tc>
          <w:tcPr>
            <w:tcW w:w="7560" w:type="dxa"/>
            <w:shd w:val="clear" w:color="auto" w:fill="auto"/>
          </w:tcPr>
          <w:p w14:paraId="08E0BE95" w14:textId="1BEB56A4" w:rsidR="00AC7B09" w:rsidRDefault="000E7D6A" w:rsidP="00FD70B5">
            <w:pPr>
              <w:pStyle w:val="QCATableText"/>
              <w:spacing w:before="0"/>
            </w:pPr>
            <w:r>
              <w:t>k</w:t>
            </w:r>
            <w:r w:rsidR="000F1666">
              <w:t>ey performance indicator</w:t>
            </w:r>
          </w:p>
        </w:tc>
      </w:tr>
      <w:tr w:rsidR="00FE1205" w:rsidRPr="004416CF" w14:paraId="01137778" w14:textId="77777777" w:rsidTr="0041668A">
        <w:trPr>
          <w:trHeight w:hRule="exact" w:val="397"/>
        </w:trPr>
        <w:tc>
          <w:tcPr>
            <w:tcW w:w="2079" w:type="dxa"/>
            <w:shd w:val="clear" w:color="auto" w:fill="auto"/>
          </w:tcPr>
          <w:p w14:paraId="45474FD1" w14:textId="739D0037" w:rsidR="00FE1205" w:rsidRDefault="00FE1205" w:rsidP="000F1666">
            <w:pPr>
              <w:pStyle w:val="QCATableText"/>
              <w:spacing w:before="0"/>
            </w:pPr>
            <w:r w:rsidRPr="00EA26E8">
              <w:t>Minister</w:t>
            </w:r>
          </w:p>
        </w:tc>
        <w:tc>
          <w:tcPr>
            <w:tcW w:w="7560" w:type="dxa"/>
            <w:shd w:val="clear" w:color="auto" w:fill="auto"/>
          </w:tcPr>
          <w:p w14:paraId="5BCDCBE2" w14:textId="49EF677E" w:rsidR="00FE1205" w:rsidRDefault="00FE1205" w:rsidP="00FD70B5">
            <w:pPr>
              <w:pStyle w:val="QCATableText"/>
              <w:spacing w:before="0"/>
            </w:pPr>
            <w:r w:rsidRPr="00EA26E8">
              <w:t xml:space="preserve">Minister for </w:t>
            </w:r>
            <w:r w:rsidR="00EA26E8" w:rsidRPr="00241A24">
              <w:t>Natural Resources, Mines and Energy</w:t>
            </w:r>
          </w:p>
        </w:tc>
      </w:tr>
      <w:tr w:rsidR="00FE3B06" w:rsidRPr="004416CF" w14:paraId="7EE6BD38" w14:textId="77777777" w:rsidTr="0041668A">
        <w:trPr>
          <w:trHeight w:hRule="exact" w:val="396"/>
        </w:trPr>
        <w:tc>
          <w:tcPr>
            <w:tcW w:w="2079" w:type="dxa"/>
            <w:shd w:val="clear" w:color="auto" w:fill="auto"/>
          </w:tcPr>
          <w:p w14:paraId="7B5237CC" w14:textId="1BBEAD2E" w:rsidR="00FE3B06" w:rsidRDefault="00FE3B06" w:rsidP="00FD70B5">
            <w:pPr>
              <w:pStyle w:val="QCATableText"/>
              <w:spacing w:before="0"/>
            </w:pPr>
            <w:r>
              <w:t>NESB</w:t>
            </w:r>
          </w:p>
        </w:tc>
        <w:tc>
          <w:tcPr>
            <w:tcW w:w="7560" w:type="dxa"/>
            <w:shd w:val="clear" w:color="auto" w:fill="auto"/>
          </w:tcPr>
          <w:p w14:paraId="1C3380F3" w14:textId="2E67838F" w:rsidR="00FE3B06" w:rsidRDefault="000E7D6A" w:rsidP="00FD70B5">
            <w:pPr>
              <w:pStyle w:val="QCATableText"/>
              <w:spacing w:before="0"/>
            </w:pPr>
            <w:r>
              <w:t>n</w:t>
            </w:r>
            <w:r w:rsidR="00FE3B06">
              <w:t>on-English</w:t>
            </w:r>
            <w:r w:rsidR="002F2B9C">
              <w:t>-</w:t>
            </w:r>
            <w:r w:rsidR="00FE3B06">
              <w:t xml:space="preserve">speaking background </w:t>
            </w:r>
          </w:p>
        </w:tc>
      </w:tr>
      <w:tr w:rsidR="00FE1205" w:rsidRPr="004416CF" w14:paraId="3E449D06" w14:textId="77777777" w:rsidTr="0041668A">
        <w:trPr>
          <w:trHeight w:hRule="exact" w:val="396"/>
        </w:trPr>
        <w:tc>
          <w:tcPr>
            <w:tcW w:w="2079" w:type="dxa"/>
            <w:shd w:val="clear" w:color="auto" w:fill="auto"/>
          </w:tcPr>
          <w:p w14:paraId="110BD1AD" w14:textId="45E006FA" w:rsidR="00FE1205" w:rsidRDefault="00FE1205" w:rsidP="00FD70B5">
            <w:pPr>
              <w:pStyle w:val="QCATableText"/>
              <w:spacing w:before="0"/>
            </w:pPr>
            <w:r w:rsidRPr="00EA26E8">
              <w:t>RAB</w:t>
            </w:r>
          </w:p>
        </w:tc>
        <w:tc>
          <w:tcPr>
            <w:tcW w:w="7560" w:type="dxa"/>
            <w:shd w:val="clear" w:color="auto" w:fill="auto"/>
          </w:tcPr>
          <w:p w14:paraId="0D778C0E" w14:textId="542EBE58" w:rsidR="00FE1205" w:rsidRDefault="000E7D6A" w:rsidP="00FD70B5">
            <w:pPr>
              <w:pStyle w:val="QCATableText"/>
              <w:spacing w:before="0"/>
            </w:pPr>
            <w:r>
              <w:t>r</w:t>
            </w:r>
            <w:r w:rsidR="00EA26E8">
              <w:t>egulat</w:t>
            </w:r>
            <w:r w:rsidR="00402094">
              <w:t>ed</w:t>
            </w:r>
            <w:r w:rsidR="00EA26E8">
              <w:t xml:space="preserve"> asset base</w:t>
            </w:r>
          </w:p>
        </w:tc>
      </w:tr>
      <w:tr w:rsidR="00440CD9" w:rsidRPr="004416CF" w14:paraId="5DE67733" w14:textId="77777777" w:rsidTr="0041668A">
        <w:trPr>
          <w:trHeight w:hRule="exact" w:val="397"/>
        </w:trPr>
        <w:tc>
          <w:tcPr>
            <w:tcW w:w="2079" w:type="dxa"/>
            <w:shd w:val="clear" w:color="auto" w:fill="auto"/>
          </w:tcPr>
          <w:p w14:paraId="4CE95C8F" w14:textId="1B55A2B9" w:rsidR="00440CD9" w:rsidRDefault="00440CD9" w:rsidP="00FD70B5">
            <w:pPr>
              <w:pStyle w:val="QCATableText"/>
              <w:spacing w:before="0"/>
            </w:pPr>
            <w:r>
              <w:t>SEQ</w:t>
            </w:r>
          </w:p>
        </w:tc>
        <w:tc>
          <w:tcPr>
            <w:tcW w:w="7560" w:type="dxa"/>
            <w:shd w:val="clear" w:color="auto" w:fill="auto"/>
          </w:tcPr>
          <w:p w14:paraId="2F90B7C3" w14:textId="2049150E" w:rsidR="00440CD9" w:rsidRDefault="000E7D6A" w:rsidP="00FD70B5">
            <w:pPr>
              <w:pStyle w:val="QCATableText"/>
              <w:spacing w:before="0"/>
            </w:pPr>
            <w:proofErr w:type="gramStart"/>
            <w:r>
              <w:t>s</w:t>
            </w:r>
            <w:r w:rsidR="00440CD9">
              <w:t>outh east</w:t>
            </w:r>
            <w:proofErr w:type="gramEnd"/>
            <w:r w:rsidR="00440CD9">
              <w:t xml:space="preserve"> Queensland</w:t>
            </w:r>
          </w:p>
        </w:tc>
      </w:tr>
      <w:tr w:rsidR="002A66A5" w:rsidRPr="004416CF" w14:paraId="578CC8A2" w14:textId="77777777" w:rsidTr="0041668A">
        <w:trPr>
          <w:trHeight w:hRule="exact" w:val="397"/>
        </w:trPr>
        <w:tc>
          <w:tcPr>
            <w:tcW w:w="2079" w:type="dxa"/>
            <w:shd w:val="clear" w:color="auto" w:fill="auto"/>
          </w:tcPr>
          <w:p w14:paraId="41B2EF16" w14:textId="77777777" w:rsidR="00A335BA" w:rsidRPr="004416CF" w:rsidRDefault="006C7AAD" w:rsidP="00FD70B5">
            <w:pPr>
              <w:pStyle w:val="QCATableText"/>
              <w:spacing w:before="0"/>
            </w:pPr>
            <w:r>
              <w:t>QCA</w:t>
            </w:r>
          </w:p>
        </w:tc>
        <w:tc>
          <w:tcPr>
            <w:tcW w:w="7560" w:type="dxa"/>
            <w:shd w:val="clear" w:color="auto" w:fill="auto"/>
          </w:tcPr>
          <w:p w14:paraId="088B0007" w14:textId="77777777" w:rsidR="00A335BA" w:rsidRPr="004416CF" w:rsidRDefault="006C7AAD" w:rsidP="00FD70B5">
            <w:pPr>
              <w:pStyle w:val="QCATableText"/>
              <w:spacing w:before="0"/>
            </w:pPr>
            <w:r>
              <w:t>Queensland Competition Authority</w:t>
            </w:r>
          </w:p>
        </w:tc>
      </w:tr>
      <w:tr w:rsidR="002A66A5" w:rsidRPr="004416CF" w14:paraId="7D57EB03" w14:textId="77777777" w:rsidTr="0041668A">
        <w:trPr>
          <w:trHeight w:hRule="exact" w:val="397"/>
        </w:trPr>
        <w:tc>
          <w:tcPr>
            <w:tcW w:w="2079" w:type="dxa"/>
            <w:shd w:val="clear" w:color="auto" w:fill="auto"/>
          </w:tcPr>
          <w:p w14:paraId="4EF9E29D" w14:textId="77777777" w:rsidR="00A335BA" w:rsidRPr="004416CF" w:rsidRDefault="006C7AAD" w:rsidP="00FD70B5">
            <w:pPr>
              <w:pStyle w:val="QCATableText"/>
              <w:spacing w:before="0"/>
            </w:pPr>
            <w:r>
              <w:t>QCA Act</w:t>
            </w:r>
          </w:p>
        </w:tc>
        <w:tc>
          <w:tcPr>
            <w:tcW w:w="7560" w:type="dxa"/>
            <w:shd w:val="clear" w:color="auto" w:fill="auto"/>
          </w:tcPr>
          <w:p w14:paraId="63779339" w14:textId="77777777" w:rsidR="00A335BA" w:rsidRPr="006C7AAD" w:rsidRDefault="006C7AAD" w:rsidP="00FD70B5">
            <w:pPr>
              <w:pStyle w:val="QCATableText"/>
              <w:spacing w:before="0"/>
              <w:rPr>
                <w:i/>
              </w:rPr>
            </w:pPr>
            <w:r w:rsidRPr="006C7AAD">
              <w:rPr>
                <w:i/>
              </w:rPr>
              <w:t>Queensland Competition Authority Act 1997</w:t>
            </w:r>
          </w:p>
        </w:tc>
      </w:tr>
      <w:tr w:rsidR="00D62FCF" w:rsidRPr="004416CF" w14:paraId="0AACAA2F" w14:textId="77777777" w:rsidTr="007348D8">
        <w:trPr>
          <w:trHeight w:hRule="exact" w:val="397"/>
        </w:trPr>
        <w:tc>
          <w:tcPr>
            <w:tcW w:w="2079" w:type="dxa"/>
            <w:shd w:val="clear" w:color="auto" w:fill="auto"/>
          </w:tcPr>
          <w:p w14:paraId="6614BDD2" w14:textId="703F909C" w:rsidR="00D62FCF" w:rsidRDefault="00D62FCF" w:rsidP="00FD70B5">
            <w:pPr>
              <w:pStyle w:val="QCATableText"/>
              <w:spacing w:before="0"/>
            </w:pPr>
            <w:r>
              <w:t>UT5</w:t>
            </w:r>
          </w:p>
        </w:tc>
        <w:tc>
          <w:tcPr>
            <w:tcW w:w="7560" w:type="dxa"/>
            <w:shd w:val="clear" w:color="auto" w:fill="auto"/>
          </w:tcPr>
          <w:p w14:paraId="44C31295" w14:textId="64C44D8E" w:rsidR="00D62FCF" w:rsidRDefault="000F1666" w:rsidP="000A1EC6">
            <w:pPr>
              <w:pStyle w:val="QCATableText"/>
              <w:spacing w:before="0"/>
            </w:pPr>
            <w:r>
              <w:t xml:space="preserve">Aurizon Network’s 2017 </w:t>
            </w:r>
            <w:r w:rsidR="000A1EC6">
              <w:t>access undertaking</w:t>
            </w:r>
          </w:p>
        </w:tc>
      </w:tr>
    </w:tbl>
    <w:p w14:paraId="61A8BE85" w14:textId="77777777" w:rsidR="00996B87" w:rsidRPr="004416CF" w:rsidRDefault="00996B87" w:rsidP="003A2362">
      <w:pPr>
        <w:rPr>
          <w:color w:val="3B3838" w:themeColor="background2" w:themeShade="40"/>
        </w:rPr>
      </w:pPr>
    </w:p>
    <w:p w14:paraId="21A1DA72" w14:textId="77777777" w:rsidR="003A2362" w:rsidRPr="004416CF" w:rsidRDefault="003A2362" w:rsidP="003A2362">
      <w:pPr>
        <w:rPr>
          <w:color w:val="3B3838" w:themeColor="background2" w:themeShade="40"/>
        </w:rPr>
        <w:sectPr w:rsidR="003A2362" w:rsidRPr="004416CF" w:rsidSect="004058E9">
          <w:footerReference w:type="even" r:id="rId53"/>
          <w:footerReference w:type="default" r:id="rId54"/>
          <w:pgSz w:w="11907" w:h="16840" w:code="9"/>
          <w:pgMar w:top="1361" w:right="851" w:bottom="1021" w:left="1418" w:header="510" w:footer="170" w:gutter="0"/>
          <w:cols w:space="720"/>
          <w:docGrid w:linePitch="360"/>
        </w:sectPr>
      </w:pPr>
    </w:p>
    <w:p w14:paraId="594610FE" w14:textId="76718A9C" w:rsidR="00A47539" w:rsidRDefault="00A47539" w:rsidP="00731D6C">
      <w:pPr>
        <w:pStyle w:val="Heading1"/>
        <w:pBdr>
          <w:bottom w:val="single" w:sz="4" w:space="1" w:color="auto"/>
        </w:pBdr>
      </w:pPr>
    </w:p>
    <w:p w14:paraId="7006C859" w14:textId="77777777" w:rsidR="00A47539" w:rsidRDefault="00A47539" w:rsidP="00731D6C">
      <w:pPr>
        <w:pStyle w:val="Heading1"/>
        <w:pBdr>
          <w:bottom w:val="single" w:sz="4" w:space="1" w:color="auto"/>
        </w:pBdr>
      </w:pPr>
    </w:p>
    <w:p w14:paraId="4F40E3A2" w14:textId="77777777" w:rsidR="00A47539" w:rsidRDefault="00A47539" w:rsidP="00731D6C">
      <w:pPr>
        <w:pStyle w:val="Heading1"/>
        <w:pBdr>
          <w:bottom w:val="single" w:sz="4" w:space="1" w:color="auto"/>
        </w:pBdr>
      </w:pPr>
    </w:p>
    <w:p w14:paraId="0769ADE0" w14:textId="77777777" w:rsidR="00A47539" w:rsidRDefault="00A47539" w:rsidP="00731D6C">
      <w:pPr>
        <w:pStyle w:val="Heading1"/>
        <w:pBdr>
          <w:bottom w:val="single" w:sz="4" w:space="1" w:color="auto"/>
        </w:pBdr>
      </w:pPr>
    </w:p>
    <w:p w14:paraId="7C400CB0" w14:textId="4C24382B" w:rsidR="000A02A4" w:rsidRDefault="00094A4E" w:rsidP="00731D6C">
      <w:pPr>
        <w:pStyle w:val="Heading1"/>
        <w:pBdr>
          <w:bottom w:val="single" w:sz="4" w:space="1" w:color="auto"/>
        </w:pBdr>
      </w:pPr>
      <w:bookmarkStart w:id="246" w:name="_Toc487614530"/>
      <w:bookmarkStart w:id="247" w:name="_Toc520282172"/>
      <w:bookmarkStart w:id="248" w:name="_Toc80792975"/>
      <w:r>
        <w:t>Appendices</w:t>
      </w:r>
      <w:bookmarkEnd w:id="246"/>
      <w:bookmarkEnd w:id="247"/>
      <w:bookmarkEnd w:id="248"/>
    </w:p>
    <w:p w14:paraId="4033C37C" w14:textId="77777777" w:rsidR="00CD0D21" w:rsidRPr="004416CF" w:rsidRDefault="00CD0D21" w:rsidP="00996B87">
      <w:pPr>
        <w:pStyle w:val="QCABodyText"/>
      </w:pPr>
    </w:p>
    <w:p w14:paraId="1CDF3627" w14:textId="77777777" w:rsidR="00996B87" w:rsidRPr="004416CF" w:rsidRDefault="00996B87" w:rsidP="00996B87">
      <w:pPr>
        <w:pStyle w:val="QCABodyText"/>
        <w:sectPr w:rsidR="00996B87" w:rsidRPr="004416CF" w:rsidSect="004058E9">
          <w:pgSz w:w="11907" w:h="16840" w:code="9"/>
          <w:pgMar w:top="1361" w:right="851" w:bottom="1814" w:left="3969" w:header="284" w:footer="170" w:gutter="0"/>
          <w:cols w:space="397"/>
          <w:docGrid w:linePitch="360"/>
        </w:sectPr>
      </w:pPr>
    </w:p>
    <w:p w14:paraId="3A2D424C" w14:textId="5D5837EC" w:rsidR="000A02A4" w:rsidRPr="00E11937" w:rsidRDefault="004D249B" w:rsidP="000A02A4">
      <w:pPr>
        <w:pStyle w:val="Heading2"/>
      </w:pPr>
      <w:bookmarkStart w:id="249" w:name="_Toc487614531"/>
      <w:bookmarkStart w:id="250" w:name="_Toc520282173"/>
      <w:bookmarkStart w:id="251" w:name="_Toc80792976"/>
      <w:r w:rsidRPr="00383470">
        <w:lastRenderedPageBreak/>
        <w:t>Appendix A: Letter of compliance</w:t>
      </w:r>
      <w:bookmarkEnd w:id="249"/>
      <w:bookmarkEnd w:id="250"/>
      <w:bookmarkEnd w:id="251"/>
    </w:p>
    <w:p w14:paraId="4DEBDFC0" w14:textId="0DD2046C" w:rsidR="006612DF" w:rsidRDefault="001C076F">
      <w:pPr>
        <w:pStyle w:val="QCABodyText"/>
      </w:pPr>
      <w:r>
        <w:rPr>
          <w:noProof/>
        </w:rPr>
        <w:drawing>
          <wp:inline distT="0" distB="0" distL="0" distR="0" wp14:anchorId="2AA9C669" wp14:editId="50029319">
            <wp:extent cx="6197600" cy="876427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97600" cy="8764270"/>
                    </a:xfrm>
                    <a:prstGeom prst="rect">
                      <a:avLst/>
                    </a:prstGeom>
                  </pic:spPr>
                </pic:pic>
              </a:graphicData>
            </a:graphic>
          </wp:inline>
        </w:drawing>
      </w:r>
    </w:p>
    <w:p w14:paraId="532EF228" w14:textId="2A0D81B2" w:rsidR="006612DF" w:rsidRDefault="006612DF">
      <w:pPr>
        <w:pStyle w:val="QCABodyText"/>
      </w:pPr>
    </w:p>
    <w:p w14:paraId="5EA22674" w14:textId="13269997" w:rsidR="007E2099" w:rsidRPr="00374803" w:rsidRDefault="00830BF5" w:rsidP="00A47539">
      <w:pPr>
        <w:pStyle w:val="Heading2"/>
        <w:rPr>
          <w:rStyle w:val="SubtleEmphasis"/>
          <w:i w:val="0"/>
          <w:iCs w:val="0"/>
          <w:color w:val="00A1E4"/>
          <w:sz w:val="32"/>
        </w:rPr>
      </w:pPr>
      <w:r w:rsidRPr="004416CF">
        <w:br w:type="page"/>
      </w:r>
      <w:bookmarkStart w:id="252" w:name="_Toc487614532"/>
      <w:bookmarkStart w:id="253" w:name="_Toc520282174"/>
      <w:bookmarkStart w:id="254" w:name="_Toc80792977"/>
      <w:r w:rsidR="00CF37EE" w:rsidRPr="00374803">
        <w:lastRenderedPageBreak/>
        <w:t>Appendix B</w:t>
      </w:r>
      <w:r w:rsidR="000A02A4" w:rsidRPr="00374803">
        <w:t>:</w:t>
      </w:r>
      <w:r w:rsidR="00B3577E" w:rsidRPr="00374803">
        <w:t xml:space="preserve"> </w:t>
      </w:r>
      <w:r w:rsidR="00CF37EE" w:rsidRPr="00211A2B">
        <w:t>Compliance checklist</w:t>
      </w:r>
      <w:bookmarkEnd w:id="252"/>
      <w:bookmarkEnd w:id="253"/>
      <w:bookmarkEnd w:id="254"/>
      <w:r w:rsidR="00D46B87">
        <w:t xml:space="preserve"> </w:t>
      </w:r>
    </w:p>
    <w:p w14:paraId="34F4776D" w14:textId="37D56BBB" w:rsidR="00653762" w:rsidRDefault="00653762" w:rsidP="00653762">
      <w:pPr>
        <w:autoSpaceDE w:val="0"/>
        <w:autoSpaceDN w:val="0"/>
        <w:adjustRightInd w:val="0"/>
        <w:spacing w:before="40" w:after="0" w:line="240" w:lineRule="auto"/>
        <w:ind w:left="131" w:right="8160"/>
        <w:rPr>
          <w:rFonts w:ascii="Arial" w:hAnsi="Arial" w:cs="Arial"/>
          <w:sz w:val="16"/>
          <w:szCs w:val="16"/>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726BE8" w:rsidRPr="00534ECE" w14:paraId="6FF3D942" w14:textId="77777777" w:rsidTr="00C256BB">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5F2C1C9B" w14:textId="77777777" w:rsidR="00726BE8" w:rsidRPr="00534ECE" w:rsidRDefault="00726BE8" w:rsidP="00C256BB">
            <w:pPr>
              <w:pStyle w:val="Text"/>
              <w:rPr>
                <w:rFonts w:cs="Arial"/>
                <w:b/>
                <w:sz w:val="18"/>
                <w:szCs w:val="18"/>
              </w:rPr>
            </w:pPr>
            <w:r w:rsidRPr="00534ECE">
              <w:rPr>
                <w:rFonts w:cs="Arial"/>
                <w:b/>
                <w:sz w:val="18"/>
                <w:szCs w:val="18"/>
              </w:rPr>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3A52495D" w14:textId="77777777" w:rsidR="00726BE8" w:rsidRPr="00534ECE" w:rsidRDefault="00726BE8" w:rsidP="00F557CB">
            <w:pPr>
              <w:pStyle w:val="Text"/>
              <w:rPr>
                <w:rFonts w:cs="Arial"/>
                <w:b/>
                <w:sz w:val="18"/>
                <w:szCs w:val="18"/>
              </w:rPr>
            </w:pPr>
            <w:r w:rsidRPr="00534ECE">
              <w:rPr>
                <w:rFonts w:cs="Arial"/>
                <w:b/>
                <w:sz w:val="18"/>
                <w:szCs w:val="18"/>
              </w:rPr>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01D55393" w14:textId="1D8FBDC0" w:rsidR="00726BE8" w:rsidRPr="00534ECE" w:rsidRDefault="00726BE8" w:rsidP="00C256BB">
            <w:pPr>
              <w:pStyle w:val="Text"/>
              <w:jc w:val="center"/>
              <w:rPr>
                <w:rFonts w:cs="Arial"/>
                <w:b/>
                <w:sz w:val="18"/>
                <w:szCs w:val="18"/>
              </w:rPr>
            </w:pPr>
            <w:r w:rsidRPr="00534ECE">
              <w:rPr>
                <w:rFonts w:cs="Arial"/>
                <w:b/>
                <w:sz w:val="18"/>
                <w:szCs w:val="18"/>
              </w:rPr>
              <w:t>Annual report reference</w:t>
            </w:r>
            <w:r w:rsidR="00DA4796">
              <w:rPr>
                <w:rFonts w:cs="Arial"/>
                <w:b/>
                <w:sz w:val="18"/>
                <w:szCs w:val="18"/>
              </w:rPr>
              <w:t xml:space="preserve"> </w:t>
            </w:r>
          </w:p>
        </w:tc>
      </w:tr>
      <w:tr w:rsidR="00726BE8" w:rsidRPr="00534ECE" w14:paraId="20CDD835" w14:textId="77777777" w:rsidTr="00C256BB">
        <w:trPr>
          <w:cantSplit/>
        </w:trPr>
        <w:tc>
          <w:tcPr>
            <w:tcW w:w="1548" w:type="dxa"/>
            <w:tcBorders>
              <w:top w:val="single" w:sz="4" w:space="0" w:color="auto"/>
              <w:bottom w:val="single" w:sz="4" w:space="0" w:color="auto"/>
              <w:right w:val="single" w:sz="4" w:space="0" w:color="auto"/>
            </w:tcBorders>
          </w:tcPr>
          <w:p w14:paraId="78E2B548"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Letter of compliance</w:t>
            </w:r>
          </w:p>
        </w:tc>
        <w:tc>
          <w:tcPr>
            <w:tcW w:w="4264" w:type="dxa"/>
            <w:tcBorders>
              <w:top w:val="single" w:sz="4" w:space="0" w:color="auto"/>
              <w:left w:val="single" w:sz="4" w:space="0" w:color="auto"/>
              <w:bottom w:val="single" w:sz="4" w:space="0" w:color="auto"/>
              <w:right w:val="single" w:sz="4" w:space="0" w:color="auto"/>
            </w:tcBorders>
          </w:tcPr>
          <w:p w14:paraId="2C51891D"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4F05DE0C" w14:textId="77777777" w:rsidR="00726BE8" w:rsidRPr="00534ECE" w:rsidRDefault="00726BE8" w:rsidP="00C256BB">
            <w:pPr>
              <w:pStyle w:val="Text"/>
              <w:spacing w:before="100" w:after="100"/>
              <w:rPr>
                <w:rFonts w:cs="Arial"/>
                <w:sz w:val="16"/>
                <w:szCs w:val="16"/>
              </w:rPr>
            </w:pPr>
            <w:r w:rsidRPr="00534ECE">
              <w:rPr>
                <w:rFonts w:cs="Arial"/>
                <w:sz w:val="16"/>
                <w:szCs w:val="16"/>
              </w:rPr>
              <w:t>ARRs</w:t>
            </w:r>
            <w:r w:rsidRPr="00534ECE">
              <w:rPr>
                <w:rFonts w:cs="Arial"/>
                <w:i/>
                <w:sz w:val="16"/>
                <w:szCs w:val="16"/>
              </w:rPr>
              <w:t xml:space="preserve"> – </w:t>
            </w:r>
            <w:r w:rsidRPr="00534ECE">
              <w:rPr>
                <w:rFonts w:cs="Arial"/>
                <w:sz w:val="16"/>
                <w:szCs w:val="16"/>
              </w:rPr>
              <w:t>section 7</w:t>
            </w:r>
          </w:p>
        </w:tc>
        <w:tc>
          <w:tcPr>
            <w:tcW w:w="1591" w:type="dxa"/>
            <w:tcBorders>
              <w:top w:val="single" w:sz="4" w:space="0" w:color="auto"/>
              <w:left w:val="single" w:sz="4" w:space="0" w:color="auto"/>
              <w:bottom w:val="single" w:sz="4" w:space="0" w:color="auto"/>
            </w:tcBorders>
            <w:shd w:val="clear" w:color="auto" w:fill="auto"/>
          </w:tcPr>
          <w:p w14:paraId="2F245B43" w14:textId="664AAEEB" w:rsidR="00726BE8" w:rsidRPr="00534ECE" w:rsidRDefault="0029028F" w:rsidP="00C256BB">
            <w:pPr>
              <w:pStyle w:val="Text"/>
              <w:spacing w:before="100" w:after="100"/>
              <w:jc w:val="center"/>
              <w:rPr>
                <w:rFonts w:cs="Arial"/>
                <w:sz w:val="16"/>
                <w:szCs w:val="16"/>
              </w:rPr>
            </w:pPr>
            <w:r>
              <w:rPr>
                <w:rFonts w:cs="Arial"/>
                <w:sz w:val="16"/>
                <w:szCs w:val="16"/>
              </w:rPr>
              <w:t>5</w:t>
            </w:r>
            <w:r w:rsidR="00957026">
              <w:rPr>
                <w:rFonts w:cs="Arial"/>
                <w:sz w:val="16"/>
                <w:szCs w:val="16"/>
              </w:rPr>
              <w:t>9</w:t>
            </w:r>
          </w:p>
        </w:tc>
      </w:tr>
      <w:tr w:rsidR="00726BE8" w:rsidRPr="00534ECE" w14:paraId="1F3CF023" w14:textId="77777777" w:rsidTr="00C256BB">
        <w:trPr>
          <w:cantSplit/>
        </w:trPr>
        <w:tc>
          <w:tcPr>
            <w:tcW w:w="1548" w:type="dxa"/>
            <w:vMerge w:val="restart"/>
            <w:tcBorders>
              <w:top w:val="single" w:sz="4" w:space="0" w:color="auto"/>
              <w:right w:val="single" w:sz="4" w:space="0" w:color="auto"/>
            </w:tcBorders>
          </w:tcPr>
          <w:p w14:paraId="13EC2BF1"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Accessibility</w:t>
            </w:r>
          </w:p>
        </w:tc>
        <w:tc>
          <w:tcPr>
            <w:tcW w:w="4264" w:type="dxa"/>
            <w:tcBorders>
              <w:top w:val="single" w:sz="4" w:space="0" w:color="auto"/>
              <w:left w:val="single" w:sz="4" w:space="0" w:color="auto"/>
              <w:bottom w:val="single" w:sz="4" w:space="0" w:color="auto"/>
              <w:right w:val="single" w:sz="4" w:space="0" w:color="auto"/>
            </w:tcBorders>
          </w:tcPr>
          <w:p w14:paraId="665E895A"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Table of contents</w:t>
            </w:r>
          </w:p>
          <w:p w14:paraId="53C82280"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Glossary</w:t>
            </w:r>
          </w:p>
        </w:tc>
        <w:tc>
          <w:tcPr>
            <w:tcW w:w="2520" w:type="dxa"/>
            <w:tcBorders>
              <w:top w:val="single" w:sz="4" w:space="0" w:color="auto"/>
              <w:left w:val="single" w:sz="4" w:space="0" w:color="auto"/>
              <w:bottom w:val="single" w:sz="4" w:space="0" w:color="auto"/>
            </w:tcBorders>
            <w:shd w:val="clear" w:color="auto" w:fill="auto"/>
          </w:tcPr>
          <w:p w14:paraId="3FE07C6A"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9.1</w:t>
            </w:r>
          </w:p>
        </w:tc>
        <w:tc>
          <w:tcPr>
            <w:tcW w:w="1591" w:type="dxa"/>
            <w:tcBorders>
              <w:top w:val="single" w:sz="4" w:space="0" w:color="auto"/>
              <w:left w:val="single" w:sz="4" w:space="0" w:color="auto"/>
              <w:bottom w:val="single" w:sz="4" w:space="0" w:color="auto"/>
            </w:tcBorders>
            <w:shd w:val="clear" w:color="auto" w:fill="auto"/>
          </w:tcPr>
          <w:p w14:paraId="630FCC27" w14:textId="77777777" w:rsidR="00726BE8" w:rsidRDefault="00011288" w:rsidP="00C256BB">
            <w:pPr>
              <w:pStyle w:val="Text"/>
              <w:spacing w:before="100" w:after="100"/>
              <w:jc w:val="center"/>
              <w:rPr>
                <w:rFonts w:cs="Arial"/>
                <w:sz w:val="16"/>
                <w:szCs w:val="16"/>
              </w:rPr>
            </w:pPr>
            <w:r>
              <w:rPr>
                <w:rFonts w:cs="Arial"/>
                <w:sz w:val="16"/>
                <w:szCs w:val="16"/>
              </w:rPr>
              <w:t>I</w:t>
            </w:r>
          </w:p>
          <w:p w14:paraId="2211C846" w14:textId="5A256DA6" w:rsidR="00011288" w:rsidRPr="00534ECE" w:rsidRDefault="0029028F" w:rsidP="00C256BB">
            <w:pPr>
              <w:pStyle w:val="Text"/>
              <w:spacing w:before="100" w:after="100"/>
              <w:jc w:val="center"/>
              <w:rPr>
                <w:rFonts w:cs="Arial"/>
                <w:sz w:val="16"/>
                <w:szCs w:val="16"/>
              </w:rPr>
            </w:pPr>
            <w:r>
              <w:rPr>
                <w:rFonts w:cs="Arial"/>
                <w:sz w:val="16"/>
                <w:szCs w:val="16"/>
              </w:rPr>
              <w:t>5</w:t>
            </w:r>
            <w:r w:rsidR="00957026">
              <w:rPr>
                <w:rFonts w:cs="Arial"/>
                <w:sz w:val="16"/>
                <w:szCs w:val="16"/>
              </w:rPr>
              <w:t>7</w:t>
            </w:r>
          </w:p>
        </w:tc>
      </w:tr>
      <w:tr w:rsidR="00726BE8" w:rsidRPr="00534ECE" w14:paraId="67C692AC" w14:textId="77777777" w:rsidTr="00C256BB">
        <w:trPr>
          <w:cantSplit/>
        </w:trPr>
        <w:tc>
          <w:tcPr>
            <w:tcW w:w="1548" w:type="dxa"/>
            <w:vMerge/>
            <w:tcBorders>
              <w:right w:val="single" w:sz="4" w:space="0" w:color="auto"/>
            </w:tcBorders>
          </w:tcPr>
          <w:p w14:paraId="7FD525DC"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2F1A5D23"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Public availability</w:t>
            </w:r>
          </w:p>
        </w:tc>
        <w:tc>
          <w:tcPr>
            <w:tcW w:w="2520" w:type="dxa"/>
            <w:tcBorders>
              <w:top w:val="single" w:sz="4" w:space="0" w:color="auto"/>
              <w:left w:val="single" w:sz="4" w:space="0" w:color="auto"/>
              <w:bottom w:val="single" w:sz="4" w:space="0" w:color="auto"/>
            </w:tcBorders>
            <w:shd w:val="clear" w:color="auto" w:fill="auto"/>
          </w:tcPr>
          <w:p w14:paraId="2173D711"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9.2</w:t>
            </w:r>
          </w:p>
        </w:tc>
        <w:tc>
          <w:tcPr>
            <w:tcW w:w="1591" w:type="dxa"/>
            <w:tcBorders>
              <w:top w:val="single" w:sz="4" w:space="0" w:color="auto"/>
              <w:left w:val="single" w:sz="4" w:space="0" w:color="auto"/>
              <w:bottom w:val="single" w:sz="4" w:space="0" w:color="auto"/>
            </w:tcBorders>
            <w:shd w:val="clear" w:color="auto" w:fill="auto"/>
          </w:tcPr>
          <w:p w14:paraId="740E685C" w14:textId="68EC51F1" w:rsidR="00726BE8" w:rsidRPr="00534ECE" w:rsidRDefault="00D15BD3" w:rsidP="00C256BB">
            <w:pPr>
              <w:pStyle w:val="Text"/>
              <w:spacing w:before="100" w:after="100"/>
              <w:jc w:val="center"/>
              <w:rPr>
                <w:rFonts w:cs="Arial"/>
                <w:sz w:val="16"/>
                <w:szCs w:val="16"/>
              </w:rPr>
            </w:pPr>
            <w:r>
              <w:rPr>
                <w:rFonts w:cs="Arial"/>
                <w:sz w:val="16"/>
                <w:szCs w:val="16"/>
              </w:rPr>
              <w:t>6</w:t>
            </w:r>
            <w:r w:rsidR="00957026">
              <w:rPr>
                <w:rFonts w:cs="Arial"/>
                <w:sz w:val="16"/>
                <w:szCs w:val="16"/>
              </w:rPr>
              <w:t>2</w:t>
            </w:r>
          </w:p>
        </w:tc>
      </w:tr>
      <w:tr w:rsidR="00726BE8" w:rsidRPr="00534ECE" w14:paraId="503205F0" w14:textId="77777777" w:rsidTr="00C256BB">
        <w:trPr>
          <w:cantSplit/>
        </w:trPr>
        <w:tc>
          <w:tcPr>
            <w:tcW w:w="1548" w:type="dxa"/>
            <w:vMerge/>
            <w:tcBorders>
              <w:right w:val="single" w:sz="4" w:space="0" w:color="auto"/>
            </w:tcBorders>
          </w:tcPr>
          <w:p w14:paraId="47F5B710"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87CADD7"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Interpreter service statement</w:t>
            </w:r>
          </w:p>
        </w:tc>
        <w:tc>
          <w:tcPr>
            <w:tcW w:w="2520" w:type="dxa"/>
            <w:tcBorders>
              <w:top w:val="single" w:sz="4" w:space="0" w:color="auto"/>
              <w:left w:val="single" w:sz="4" w:space="0" w:color="auto"/>
              <w:bottom w:val="single" w:sz="4" w:space="0" w:color="auto"/>
            </w:tcBorders>
            <w:shd w:val="clear" w:color="auto" w:fill="auto"/>
          </w:tcPr>
          <w:p w14:paraId="2225E075" w14:textId="77777777" w:rsidR="00726BE8" w:rsidRPr="00534ECE" w:rsidRDefault="00726BE8" w:rsidP="00C256BB">
            <w:pPr>
              <w:pStyle w:val="Text"/>
              <w:spacing w:before="100" w:after="100"/>
              <w:rPr>
                <w:rFonts w:cs="Arial"/>
                <w:i/>
                <w:sz w:val="16"/>
                <w:szCs w:val="16"/>
              </w:rPr>
            </w:pPr>
            <w:r w:rsidRPr="00534ECE">
              <w:rPr>
                <w:rFonts w:cs="Arial"/>
                <w:i/>
                <w:sz w:val="16"/>
                <w:szCs w:val="16"/>
              </w:rPr>
              <w:t>Queensland Government Language Services Policy</w:t>
            </w:r>
          </w:p>
          <w:p w14:paraId="2220A9B2"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9.3</w:t>
            </w:r>
          </w:p>
        </w:tc>
        <w:tc>
          <w:tcPr>
            <w:tcW w:w="1591" w:type="dxa"/>
            <w:tcBorders>
              <w:top w:val="single" w:sz="4" w:space="0" w:color="auto"/>
              <w:left w:val="single" w:sz="4" w:space="0" w:color="auto"/>
              <w:bottom w:val="single" w:sz="4" w:space="0" w:color="auto"/>
            </w:tcBorders>
            <w:shd w:val="clear" w:color="auto" w:fill="auto"/>
          </w:tcPr>
          <w:p w14:paraId="5A1AC630" w14:textId="4D10862F" w:rsidR="00726BE8" w:rsidRPr="00534ECE" w:rsidRDefault="00D15BD3" w:rsidP="00C256BB">
            <w:pPr>
              <w:pStyle w:val="Text"/>
              <w:spacing w:before="100" w:after="100"/>
              <w:jc w:val="center"/>
              <w:rPr>
                <w:rFonts w:cs="Arial"/>
                <w:sz w:val="16"/>
                <w:szCs w:val="16"/>
              </w:rPr>
            </w:pPr>
            <w:r>
              <w:rPr>
                <w:rFonts w:cs="Arial"/>
                <w:sz w:val="16"/>
                <w:szCs w:val="16"/>
              </w:rPr>
              <w:t>6</w:t>
            </w:r>
            <w:r w:rsidR="00957026">
              <w:rPr>
                <w:rFonts w:cs="Arial"/>
                <w:sz w:val="16"/>
                <w:szCs w:val="16"/>
              </w:rPr>
              <w:t>2</w:t>
            </w:r>
          </w:p>
        </w:tc>
      </w:tr>
      <w:tr w:rsidR="00726BE8" w:rsidRPr="00534ECE" w14:paraId="71D3EA48" w14:textId="77777777" w:rsidTr="00C256BB">
        <w:trPr>
          <w:cantSplit/>
        </w:trPr>
        <w:tc>
          <w:tcPr>
            <w:tcW w:w="1548" w:type="dxa"/>
            <w:vMerge/>
            <w:tcBorders>
              <w:right w:val="single" w:sz="4" w:space="0" w:color="auto"/>
            </w:tcBorders>
          </w:tcPr>
          <w:p w14:paraId="2A1AB49C"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D8F9824"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Copyright notice</w:t>
            </w:r>
          </w:p>
        </w:tc>
        <w:tc>
          <w:tcPr>
            <w:tcW w:w="2520" w:type="dxa"/>
            <w:tcBorders>
              <w:top w:val="single" w:sz="4" w:space="0" w:color="auto"/>
              <w:left w:val="single" w:sz="4" w:space="0" w:color="auto"/>
              <w:bottom w:val="single" w:sz="4" w:space="0" w:color="auto"/>
            </w:tcBorders>
            <w:shd w:val="clear" w:color="auto" w:fill="auto"/>
          </w:tcPr>
          <w:p w14:paraId="68CC8441" w14:textId="77777777" w:rsidR="00726BE8" w:rsidRPr="00534ECE" w:rsidRDefault="00726BE8" w:rsidP="00C256BB">
            <w:pPr>
              <w:pStyle w:val="Text"/>
              <w:spacing w:before="100" w:after="100"/>
              <w:rPr>
                <w:rFonts w:cs="Arial"/>
                <w:i/>
                <w:sz w:val="16"/>
                <w:szCs w:val="16"/>
              </w:rPr>
            </w:pPr>
            <w:r w:rsidRPr="00534ECE">
              <w:rPr>
                <w:rFonts w:cs="Arial"/>
                <w:i/>
                <w:sz w:val="16"/>
                <w:szCs w:val="16"/>
              </w:rPr>
              <w:t>Copyright Act 1968</w:t>
            </w:r>
          </w:p>
          <w:p w14:paraId="08FA9007"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9.4</w:t>
            </w:r>
          </w:p>
        </w:tc>
        <w:tc>
          <w:tcPr>
            <w:tcW w:w="1591" w:type="dxa"/>
            <w:tcBorders>
              <w:top w:val="single" w:sz="4" w:space="0" w:color="auto"/>
              <w:left w:val="single" w:sz="4" w:space="0" w:color="auto"/>
              <w:bottom w:val="single" w:sz="4" w:space="0" w:color="auto"/>
            </w:tcBorders>
            <w:shd w:val="clear" w:color="auto" w:fill="auto"/>
          </w:tcPr>
          <w:p w14:paraId="0F740AED" w14:textId="2122D9A8" w:rsidR="00726BE8" w:rsidRPr="00534ECE" w:rsidRDefault="00011288" w:rsidP="00C256BB">
            <w:pPr>
              <w:pStyle w:val="Text"/>
              <w:spacing w:before="100" w:after="100"/>
              <w:jc w:val="center"/>
              <w:rPr>
                <w:rFonts w:cs="Arial"/>
                <w:sz w:val="16"/>
                <w:szCs w:val="16"/>
              </w:rPr>
            </w:pPr>
            <w:r>
              <w:rPr>
                <w:rFonts w:cs="Arial"/>
                <w:sz w:val="16"/>
                <w:szCs w:val="16"/>
              </w:rPr>
              <w:t>Back of cover page</w:t>
            </w:r>
          </w:p>
        </w:tc>
      </w:tr>
      <w:tr w:rsidR="00726BE8" w:rsidRPr="00534ECE" w14:paraId="555DF16A" w14:textId="77777777" w:rsidTr="00C256BB">
        <w:trPr>
          <w:cantSplit/>
        </w:trPr>
        <w:tc>
          <w:tcPr>
            <w:tcW w:w="1548" w:type="dxa"/>
            <w:vMerge/>
            <w:tcBorders>
              <w:bottom w:val="single" w:sz="4" w:space="0" w:color="auto"/>
              <w:right w:val="single" w:sz="4" w:space="0" w:color="auto"/>
            </w:tcBorders>
          </w:tcPr>
          <w:p w14:paraId="69CFB13B"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FCF25FC"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Information Licensing</w:t>
            </w:r>
          </w:p>
        </w:tc>
        <w:tc>
          <w:tcPr>
            <w:tcW w:w="2520" w:type="dxa"/>
            <w:tcBorders>
              <w:top w:val="single" w:sz="4" w:space="0" w:color="auto"/>
              <w:left w:val="single" w:sz="4" w:space="0" w:color="auto"/>
              <w:bottom w:val="single" w:sz="4" w:space="0" w:color="auto"/>
            </w:tcBorders>
            <w:shd w:val="clear" w:color="auto" w:fill="auto"/>
          </w:tcPr>
          <w:p w14:paraId="28F11090" w14:textId="77777777" w:rsidR="00726BE8" w:rsidRPr="00534ECE" w:rsidRDefault="00726BE8" w:rsidP="00C256BB">
            <w:pPr>
              <w:pStyle w:val="Text"/>
              <w:spacing w:before="100" w:after="100"/>
              <w:rPr>
                <w:rFonts w:cs="Arial"/>
                <w:i/>
                <w:sz w:val="16"/>
                <w:szCs w:val="16"/>
              </w:rPr>
            </w:pPr>
            <w:r w:rsidRPr="00534ECE">
              <w:rPr>
                <w:rFonts w:cs="Arial"/>
                <w:i/>
                <w:sz w:val="16"/>
                <w:szCs w:val="16"/>
              </w:rPr>
              <w:t>QGEA – Information Licensing</w:t>
            </w:r>
          </w:p>
          <w:p w14:paraId="431519E3"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9.5</w:t>
            </w:r>
          </w:p>
        </w:tc>
        <w:tc>
          <w:tcPr>
            <w:tcW w:w="1591" w:type="dxa"/>
            <w:tcBorders>
              <w:top w:val="single" w:sz="4" w:space="0" w:color="auto"/>
              <w:left w:val="single" w:sz="4" w:space="0" w:color="auto"/>
              <w:bottom w:val="single" w:sz="4" w:space="0" w:color="auto"/>
            </w:tcBorders>
            <w:shd w:val="clear" w:color="auto" w:fill="auto"/>
          </w:tcPr>
          <w:p w14:paraId="1B8EEE70" w14:textId="15A5E483" w:rsidR="00726BE8" w:rsidRPr="00534ECE" w:rsidRDefault="00011288" w:rsidP="00C256BB">
            <w:pPr>
              <w:pStyle w:val="Text"/>
              <w:spacing w:before="100" w:after="100"/>
              <w:jc w:val="center"/>
              <w:rPr>
                <w:rFonts w:cs="Arial"/>
                <w:sz w:val="16"/>
                <w:szCs w:val="16"/>
              </w:rPr>
            </w:pPr>
            <w:r>
              <w:rPr>
                <w:rFonts w:cs="Arial"/>
                <w:sz w:val="16"/>
                <w:szCs w:val="16"/>
              </w:rPr>
              <w:t>N/A</w:t>
            </w:r>
          </w:p>
        </w:tc>
      </w:tr>
      <w:tr w:rsidR="00726BE8" w:rsidRPr="00534ECE" w14:paraId="51B960D3" w14:textId="77777777" w:rsidTr="00C256BB">
        <w:trPr>
          <w:cantSplit/>
          <w:trHeight w:val="485"/>
        </w:trPr>
        <w:tc>
          <w:tcPr>
            <w:tcW w:w="1548" w:type="dxa"/>
            <w:tcBorders>
              <w:top w:val="single" w:sz="4" w:space="0" w:color="auto"/>
              <w:right w:val="single" w:sz="4" w:space="0" w:color="auto"/>
            </w:tcBorders>
          </w:tcPr>
          <w:p w14:paraId="1003483A"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General information</w:t>
            </w:r>
          </w:p>
        </w:tc>
        <w:tc>
          <w:tcPr>
            <w:tcW w:w="4264" w:type="dxa"/>
            <w:tcBorders>
              <w:top w:val="single" w:sz="4" w:space="0" w:color="auto"/>
              <w:left w:val="single" w:sz="4" w:space="0" w:color="auto"/>
              <w:bottom w:val="single" w:sz="4" w:space="0" w:color="auto"/>
              <w:right w:val="single" w:sz="4" w:space="0" w:color="auto"/>
            </w:tcBorders>
          </w:tcPr>
          <w:p w14:paraId="68F68EF1"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Introductory Information</w:t>
            </w:r>
          </w:p>
        </w:tc>
        <w:tc>
          <w:tcPr>
            <w:tcW w:w="2520" w:type="dxa"/>
            <w:tcBorders>
              <w:top w:val="single" w:sz="4" w:space="0" w:color="auto"/>
              <w:left w:val="single" w:sz="4" w:space="0" w:color="auto"/>
              <w:bottom w:val="single" w:sz="4" w:space="0" w:color="auto"/>
            </w:tcBorders>
            <w:shd w:val="clear" w:color="auto" w:fill="auto"/>
          </w:tcPr>
          <w:p w14:paraId="55D6A464" w14:textId="77777777" w:rsidR="00726BE8" w:rsidRPr="00534ECE" w:rsidRDefault="00726BE8" w:rsidP="00C256BB">
            <w:pPr>
              <w:pStyle w:val="Text"/>
              <w:spacing w:before="100" w:after="100"/>
              <w:rPr>
                <w:rFonts w:cs="Arial"/>
                <w:sz w:val="16"/>
                <w:szCs w:val="16"/>
                <w:lang w:val="fr-FR"/>
              </w:rPr>
            </w:pPr>
            <w:proofErr w:type="spellStart"/>
            <w:r w:rsidRPr="00534ECE">
              <w:rPr>
                <w:rFonts w:cs="Arial"/>
                <w:sz w:val="16"/>
                <w:szCs w:val="16"/>
                <w:lang w:val="fr-FR"/>
              </w:rPr>
              <w:t>ARRs</w:t>
            </w:r>
            <w:proofErr w:type="spellEnd"/>
            <w:r w:rsidRPr="00534ECE">
              <w:rPr>
                <w:rFonts w:cs="Arial"/>
                <w:sz w:val="16"/>
                <w:szCs w:val="16"/>
                <w:lang w:val="fr-FR"/>
              </w:rPr>
              <w:t xml:space="preserve"> – section </w:t>
            </w:r>
            <w:r w:rsidRPr="00534ECE">
              <w:rPr>
                <w:rFonts w:cs="Arial"/>
                <w:sz w:val="16"/>
                <w:szCs w:val="16"/>
              </w:rPr>
              <w:t>10</w:t>
            </w:r>
          </w:p>
        </w:tc>
        <w:tc>
          <w:tcPr>
            <w:tcW w:w="1591" w:type="dxa"/>
            <w:tcBorders>
              <w:top w:val="single" w:sz="4" w:space="0" w:color="auto"/>
              <w:left w:val="single" w:sz="4" w:space="0" w:color="auto"/>
              <w:bottom w:val="single" w:sz="4" w:space="0" w:color="auto"/>
            </w:tcBorders>
            <w:shd w:val="clear" w:color="auto" w:fill="auto"/>
          </w:tcPr>
          <w:p w14:paraId="266D7F4C" w14:textId="519B8C74" w:rsidR="00726BE8" w:rsidRPr="00534ECE" w:rsidRDefault="00FE3A36" w:rsidP="00C256BB">
            <w:pPr>
              <w:pStyle w:val="Text"/>
              <w:spacing w:before="100" w:after="100"/>
              <w:jc w:val="center"/>
              <w:rPr>
                <w:rFonts w:cs="Arial"/>
                <w:sz w:val="16"/>
                <w:szCs w:val="16"/>
              </w:rPr>
            </w:pPr>
            <w:r w:rsidRPr="001A79DC">
              <w:rPr>
                <w:rFonts w:cs="Arial"/>
                <w:sz w:val="16"/>
                <w:szCs w:val="16"/>
              </w:rPr>
              <w:t>2–3</w:t>
            </w:r>
            <w:r w:rsidR="00B74B70" w:rsidRPr="001A79DC">
              <w:rPr>
                <w:rFonts w:cs="Arial"/>
                <w:sz w:val="16"/>
                <w:szCs w:val="16"/>
              </w:rPr>
              <w:t>, 12</w:t>
            </w:r>
          </w:p>
        </w:tc>
      </w:tr>
      <w:tr w:rsidR="00726BE8" w:rsidRPr="00534ECE" w14:paraId="53F80200" w14:textId="77777777" w:rsidTr="00C256BB">
        <w:trPr>
          <w:cantSplit/>
        </w:trPr>
        <w:tc>
          <w:tcPr>
            <w:tcW w:w="1548" w:type="dxa"/>
            <w:vMerge w:val="restart"/>
            <w:tcBorders>
              <w:top w:val="single" w:sz="4" w:space="0" w:color="auto"/>
              <w:right w:val="single" w:sz="4" w:space="0" w:color="auto"/>
            </w:tcBorders>
          </w:tcPr>
          <w:p w14:paraId="4FC44CCD"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Non-financial performance</w:t>
            </w:r>
          </w:p>
        </w:tc>
        <w:tc>
          <w:tcPr>
            <w:tcW w:w="4264" w:type="dxa"/>
            <w:tcBorders>
              <w:top w:val="single" w:sz="4" w:space="0" w:color="auto"/>
              <w:left w:val="single" w:sz="4" w:space="0" w:color="auto"/>
              <w:bottom w:val="single" w:sz="4" w:space="0" w:color="auto"/>
              <w:right w:val="single" w:sz="4" w:space="0" w:color="auto"/>
            </w:tcBorders>
          </w:tcPr>
          <w:p w14:paraId="38C33F9F" w14:textId="77777777" w:rsidR="00726BE8" w:rsidRPr="000D3F0A"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0D3F0A">
              <w:rPr>
                <w:rFonts w:cs="Arial"/>
                <w:b/>
                <w:sz w:val="16"/>
                <w:szCs w:val="16"/>
              </w:rPr>
              <w:t>Government’s objectives for the community and whole-of-government plans/specific initiatives</w:t>
            </w:r>
          </w:p>
        </w:tc>
        <w:tc>
          <w:tcPr>
            <w:tcW w:w="2520" w:type="dxa"/>
            <w:tcBorders>
              <w:top w:val="single" w:sz="4" w:space="0" w:color="auto"/>
              <w:left w:val="single" w:sz="4" w:space="0" w:color="auto"/>
            </w:tcBorders>
            <w:shd w:val="clear" w:color="auto" w:fill="auto"/>
          </w:tcPr>
          <w:p w14:paraId="356C86DC"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11.1</w:t>
            </w:r>
          </w:p>
        </w:tc>
        <w:tc>
          <w:tcPr>
            <w:tcW w:w="1591" w:type="dxa"/>
            <w:tcBorders>
              <w:top w:val="single" w:sz="4" w:space="0" w:color="auto"/>
              <w:left w:val="single" w:sz="4" w:space="0" w:color="auto"/>
              <w:bottom w:val="single" w:sz="4" w:space="0" w:color="auto"/>
            </w:tcBorders>
            <w:shd w:val="clear" w:color="auto" w:fill="auto"/>
          </w:tcPr>
          <w:p w14:paraId="1F7E866F" w14:textId="2098A302" w:rsidR="00726BE8" w:rsidRPr="00534ECE" w:rsidRDefault="00B74B70" w:rsidP="00C256BB">
            <w:pPr>
              <w:pStyle w:val="Text"/>
              <w:spacing w:before="100" w:after="100"/>
              <w:jc w:val="center"/>
              <w:rPr>
                <w:rFonts w:cs="Arial"/>
                <w:sz w:val="16"/>
                <w:szCs w:val="16"/>
              </w:rPr>
            </w:pPr>
            <w:r w:rsidRPr="0072281D">
              <w:rPr>
                <w:rFonts w:cs="Arial"/>
                <w:sz w:val="16"/>
                <w:szCs w:val="16"/>
              </w:rPr>
              <w:t>15</w:t>
            </w:r>
          </w:p>
        </w:tc>
      </w:tr>
      <w:tr w:rsidR="00726BE8" w:rsidRPr="00534ECE" w14:paraId="03C829EE" w14:textId="77777777" w:rsidTr="00C256BB">
        <w:trPr>
          <w:cantSplit/>
        </w:trPr>
        <w:tc>
          <w:tcPr>
            <w:tcW w:w="1548" w:type="dxa"/>
            <w:vMerge/>
            <w:tcBorders>
              <w:right w:val="single" w:sz="4" w:space="0" w:color="auto"/>
            </w:tcBorders>
          </w:tcPr>
          <w:p w14:paraId="6C71A43F"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EB6F474" w14:textId="77777777" w:rsidR="00726BE8" w:rsidRPr="000D3F0A"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0D3F0A">
              <w:rPr>
                <w:rFonts w:cs="Arial"/>
                <w:b/>
                <w:sz w:val="16"/>
                <w:szCs w:val="16"/>
              </w:rPr>
              <w:t>Agency objectives and performance indicators</w:t>
            </w:r>
          </w:p>
        </w:tc>
        <w:tc>
          <w:tcPr>
            <w:tcW w:w="2520" w:type="dxa"/>
            <w:tcBorders>
              <w:left w:val="single" w:sz="4" w:space="0" w:color="auto"/>
            </w:tcBorders>
            <w:shd w:val="clear" w:color="auto" w:fill="auto"/>
          </w:tcPr>
          <w:p w14:paraId="2BCCF1D0"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11.</w:t>
            </w:r>
            <w:r>
              <w:rPr>
                <w:rFonts w:cs="Arial"/>
                <w:sz w:val="16"/>
                <w:szCs w:val="16"/>
              </w:rPr>
              <w:t>2</w:t>
            </w:r>
          </w:p>
        </w:tc>
        <w:tc>
          <w:tcPr>
            <w:tcW w:w="1591" w:type="dxa"/>
            <w:tcBorders>
              <w:top w:val="single" w:sz="4" w:space="0" w:color="auto"/>
              <w:left w:val="single" w:sz="4" w:space="0" w:color="auto"/>
              <w:bottom w:val="single" w:sz="4" w:space="0" w:color="auto"/>
            </w:tcBorders>
            <w:shd w:val="clear" w:color="auto" w:fill="auto"/>
          </w:tcPr>
          <w:p w14:paraId="70659313" w14:textId="3E21AA5D" w:rsidR="00726BE8" w:rsidRPr="00534ECE" w:rsidRDefault="00CA7A64" w:rsidP="00C256BB">
            <w:pPr>
              <w:pStyle w:val="Text"/>
              <w:spacing w:before="100" w:after="100"/>
              <w:jc w:val="center"/>
              <w:rPr>
                <w:rFonts w:cs="Arial"/>
                <w:sz w:val="16"/>
                <w:szCs w:val="16"/>
              </w:rPr>
            </w:pPr>
            <w:r>
              <w:rPr>
                <w:rFonts w:cs="Arial"/>
                <w:sz w:val="16"/>
                <w:szCs w:val="16"/>
              </w:rPr>
              <w:t>8–9</w:t>
            </w:r>
            <w:r w:rsidR="000D3F0A" w:rsidRPr="000D3F0A">
              <w:rPr>
                <w:rFonts w:cs="Arial"/>
                <w:sz w:val="16"/>
                <w:szCs w:val="16"/>
              </w:rPr>
              <w:t>, 12–</w:t>
            </w:r>
            <w:r w:rsidR="00974BA2">
              <w:rPr>
                <w:rFonts w:cs="Arial"/>
                <w:sz w:val="16"/>
                <w:szCs w:val="16"/>
              </w:rPr>
              <w:t>31</w:t>
            </w:r>
          </w:p>
        </w:tc>
      </w:tr>
      <w:tr w:rsidR="00726BE8" w:rsidRPr="00534ECE" w14:paraId="2A937CF0" w14:textId="77777777" w:rsidTr="00C256BB">
        <w:trPr>
          <w:cantSplit/>
        </w:trPr>
        <w:tc>
          <w:tcPr>
            <w:tcW w:w="1548" w:type="dxa"/>
            <w:vMerge/>
            <w:tcBorders>
              <w:bottom w:val="nil"/>
              <w:right w:val="single" w:sz="4" w:space="0" w:color="auto"/>
            </w:tcBorders>
          </w:tcPr>
          <w:p w14:paraId="30FD43D6"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7F20414E" w14:textId="77777777" w:rsidR="00726BE8" w:rsidRPr="000D3F0A"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0D3F0A">
              <w:rPr>
                <w:rFonts w:cs="Arial"/>
                <w:b/>
                <w:sz w:val="16"/>
                <w:szCs w:val="16"/>
              </w:rPr>
              <w:t xml:space="preserve">Agency service areas and service standards </w:t>
            </w:r>
          </w:p>
        </w:tc>
        <w:tc>
          <w:tcPr>
            <w:tcW w:w="2520" w:type="dxa"/>
            <w:tcBorders>
              <w:left w:val="single" w:sz="4" w:space="0" w:color="auto"/>
            </w:tcBorders>
            <w:shd w:val="clear" w:color="auto" w:fill="auto"/>
          </w:tcPr>
          <w:p w14:paraId="13764201" w14:textId="77777777" w:rsidR="00726BE8" w:rsidRPr="00534ECE" w:rsidRDefault="00726BE8" w:rsidP="00C256BB">
            <w:pPr>
              <w:pStyle w:val="Text"/>
              <w:spacing w:before="100" w:after="100"/>
              <w:rPr>
                <w:rFonts w:cs="Arial"/>
                <w:i/>
                <w:sz w:val="16"/>
                <w:szCs w:val="16"/>
              </w:rPr>
            </w:pPr>
            <w:r w:rsidRPr="00534ECE">
              <w:rPr>
                <w:rFonts w:cs="Arial"/>
                <w:sz w:val="16"/>
                <w:szCs w:val="16"/>
              </w:rPr>
              <w:t>ARRs – section 11.</w:t>
            </w:r>
            <w:r>
              <w:rPr>
                <w:rFonts w:cs="Arial"/>
                <w:sz w:val="16"/>
                <w:szCs w:val="16"/>
              </w:rPr>
              <w:t>3</w:t>
            </w:r>
          </w:p>
        </w:tc>
        <w:tc>
          <w:tcPr>
            <w:tcW w:w="1591" w:type="dxa"/>
            <w:tcBorders>
              <w:top w:val="single" w:sz="4" w:space="0" w:color="auto"/>
              <w:left w:val="single" w:sz="4" w:space="0" w:color="auto"/>
              <w:bottom w:val="single" w:sz="4" w:space="0" w:color="auto"/>
            </w:tcBorders>
            <w:shd w:val="clear" w:color="auto" w:fill="auto"/>
          </w:tcPr>
          <w:p w14:paraId="3ACECCCC" w14:textId="54EE458C" w:rsidR="00726BE8" w:rsidRPr="00534ECE" w:rsidRDefault="000D3F0A" w:rsidP="00C256BB">
            <w:pPr>
              <w:pStyle w:val="Text"/>
              <w:spacing w:before="100" w:after="100"/>
              <w:jc w:val="center"/>
              <w:rPr>
                <w:rFonts w:cs="Arial"/>
                <w:sz w:val="16"/>
                <w:szCs w:val="16"/>
              </w:rPr>
            </w:pPr>
            <w:r>
              <w:rPr>
                <w:rFonts w:cs="Arial"/>
                <w:sz w:val="16"/>
                <w:szCs w:val="16"/>
              </w:rPr>
              <w:t>12–</w:t>
            </w:r>
            <w:r w:rsidR="00974BA2">
              <w:rPr>
                <w:rFonts w:cs="Arial"/>
                <w:sz w:val="16"/>
                <w:szCs w:val="16"/>
              </w:rPr>
              <w:t>35</w:t>
            </w:r>
          </w:p>
        </w:tc>
      </w:tr>
      <w:tr w:rsidR="00726BE8" w:rsidRPr="00534ECE" w14:paraId="03C5ADA8" w14:textId="77777777" w:rsidTr="00C256BB">
        <w:trPr>
          <w:cantSplit/>
        </w:trPr>
        <w:tc>
          <w:tcPr>
            <w:tcW w:w="1548" w:type="dxa"/>
            <w:tcBorders>
              <w:top w:val="single" w:sz="4" w:space="0" w:color="auto"/>
              <w:bottom w:val="single" w:sz="4" w:space="0" w:color="auto"/>
              <w:right w:val="single" w:sz="4" w:space="0" w:color="auto"/>
            </w:tcBorders>
          </w:tcPr>
          <w:p w14:paraId="772CB9F5"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Financial performance</w:t>
            </w:r>
          </w:p>
        </w:tc>
        <w:tc>
          <w:tcPr>
            <w:tcW w:w="4264" w:type="dxa"/>
            <w:tcBorders>
              <w:top w:val="single" w:sz="4" w:space="0" w:color="auto"/>
              <w:left w:val="single" w:sz="4" w:space="0" w:color="auto"/>
              <w:bottom w:val="single" w:sz="4" w:space="0" w:color="auto"/>
              <w:right w:val="single" w:sz="4" w:space="0" w:color="auto"/>
            </w:tcBorders>
          </w:tcPr>
          <w:p w14:paraId="09E6E3BE"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Summary of financial performance</w:t>
            </w:r>
          </w:p>
        </w:tc>
        <w:tc>
          <w:tcPr>
            <w:tcW w:w="2520" w:type="dxa"/>
            <w:tcBorders>
              <w:top w:val="single" w:sz="4" w:space="0" w:color="auto"/>
              <w:left w:val="single" w:sz="4" w:space="0" w:color="auto"/>
              <w:bottom w:val="single" w:sz="4" w:space="0" w:color="auto"/>
            </w:tcBorders>
            <w:shd w:val="clear" w:color="auto" w:fill="auto"/>
          </w:tcPr>
          <w:p w14:paraId="79BBADB0"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12.1</w:t>
            </w:r>
          </w:p>
        </w:tc>
        <w:tc>
          <w:tcPr>
            <w:tcW w:w="1591" w:type="dxa"/>
            <w:tcBorders>
              <w:top w:val="single" w:sz="4" w:space="0" w:color="auto"/>
              <w:left w:val="single" w:sz="4" w:space="0" w:color="auto"/>
              <w:bottom w:val="single" w:sz="4" w:space="0" w:color="auto"/>
            </w:tcBorders>
            <w:shd w:val="clear" w:color="auto" w:fill="auto"/>
          </w:tcPr>
          <w:p w14:paraId="30032596" w14:textId="1279C015" w:rsidR="00726BE8" w:rsidRPr="00534ECE" w:rsidRDefault="00455C00" w:rsidP="00C256BB">
            <w:pPr>
              <w:pStyle w:val="Text"/>
              <w:spacing w:before="100" w:after="100"/>
              <w:jc w:val="center"/>
              <w:rPr>
                <w:rFonts w:cs="Arial"/>
                <w:sz w:val="16"/>
                <w:szCs w:val="16"/>
              </w:rPr>
            </w:pPr>
            <w:r>
              <w:rPr>
                <w:rFonts w:cs="Arial"/>
                <w:sz w:val="16"/>
                <w:szCs w:val="16"/>
              </w:rPr>
              <w:t>19</w:t>
            </w:r>
            <w:r w:rsidR="00C7044B">
              <w:rPr>
                <w:rFonts w:cs="Arial"/>
                <w:sz w:val="16"/>
                <w:szCs w:val="16"/>
              </w:rPr>
              <w:t xml:space="preserve">, </w:t>
            </w:r>
            <w:r w:rsidR="00974BA2">
              <w:rPr>
                <w:rFonts w:cs="Arial"/>
                <w:sz w:val="16"/>
                <w:szCs w:val="16"/>
              </w:rPr>
              <w:t>3</w:t>
            </w:r>
            <w:r w:rsidR="00957026">
              <w:rPr>
                <w:rFonts w:cs="Arial"/>
                <w:sz w:val="16"/>
                <w:szCs w:val="16"/>
              </w:rPr>
              <w:t>9</w:t>
            </w:r>
            <w:r w:rsidR="00974BA2">
              <w:rPr>
                <w:rFonts w:cs="Arial"/>
                <w:sz w:val="16"/>
                <w:szCs w:val="16"/>
              </w:rPr>
              <w:t>-5</w:t>
            </w:r>
            <w:r w:rsidR="00957026">
              <w:rPr>
                <w:rFonts w:cs="Arial"/>
                <w:sz w:val="16"/>
                <w:szCs w:val="16"/>
              </w:rPr>
              <w:t>6</w:t>
            </w:r>
          </w:p>
        </w:tc>
      </w:tr>
      <w:tr w:rsidR="00726BE8" w:rsidRPr="00534ECE" w14:paraId="6EE97A55" w14:textId="77777777" w:rsidTr="00C256BB">
        <w:trPr>
          <w:cantSplit/>
        </w:trPr>
        <w:tc>
          <w:tcPr>
            <w:tcW w:w="1548" w:type="dxa"/>
            <w:vMerge w:val="restart"/>
            <w:tcBorders>
              <w:top w:val="single" w:sz="4" w:space="0" w:color="auto"/>
              <w:bottom w:val="single" w:sz="4" w:space="0" w:color="auto"/>
              <w:right w:val="single" w:sz="4" w:space="0" w:color="auto"/>
            </w:tcBorders>
          </w:tcPr>
          <w:p w14:paraId="51A3C86B"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134C882A"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7A107E2F"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13.1</w:t>
            </w:r>
          </w:p>
        </w:tc>
        <w:tc>
          <w:tcPr>
            <w:tcW w:w="1591" w:type="dxa"/>
            <w:tcBorders>
              <w:top w:val="single" w:sz="4" w:space="0" w:color="auto"/>
              <w:left w:val="single" w:sz="4" w:space="0" w:color="auto"/>
              <w:bottom w:val="single" w:sz="4" w:space="0" w:color="auto"/>
            </w:tcBorders>
            <w:shd w:val="clear" w:color="auto" w:fill="auto"/>
          </w:tcPr>
          <w:p w14:paraId="65C5C37D" w14:textId="2C91778B" w:rsidR="00726BE8" w:rsidRPr="00534ECE" w:rsidRDefault="00CA7A64" w:rsidP="00C256BB">
            <w:pPr>
              <w:pStyle w:val="Text"/>
              <w:spacing w:before="100" w:after="100"/>
              <w:jc w:val="center"/>
              <w:rPr>
                <w:rFonts w:cs="Arial"/>
                <w:sz w:val="16"/>
                <w:szCs w:val="16"/>
              </w:rPr>
            </w:pPr>
            <w:r>
              <w:rPr>
                <w:rFonts w:cs="Arial"/>
                <w:sz w:val="16"/>
                <w:szCs w:val="16"/>
              </w:rPr>
              <w:t>6</w:t>
            </w:r>
          </w:p>
        </w:tc>
      </w:tr>
      <w:tr w:rsidR="00726BE8" w:rsidRPr="00534ECE" w14:paraId="7C25EF12" w14:textId="77777777" w:rsidTr="00C256BB">
        <w:trPr>
          <w:cantSplit/>
        </w:trPr>
        <w:tc>
          <w:tcPr>
            <w:tcW w:w="1548" w:type="dxa"/>
            <w:vMerge/>
            <w:tcBorders>
              <w:top w:val="single" w:sz="4" w:space="0" w:color="auto"/>
              <w:bottom w:val="single" w:sz="4" w:space="0" w:color="auto"/>
              <w:right w:val="single" w:sz="4" w:space="0" w:color="auto"/>
            </w:tcBorders>
          </w:tcPr>
          <w:p w14:paraId="0E070C9D"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F7B8EB8"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Executive management</w:t>
            </w:r>
          </w:p>
        </w:tc>
        <w:tc>
          <w:tcPr>
            <w:tcW w:w="2520" w:type="dxa"/>
            <w:tcBorders>
              <w:top w:val="single" w:sz="4" w:space="0" w:color="auto"/>
              <w:left w:val="single" w:sz="4" w:space="0" w:color="auto"/>
              <w:bottom w:val="single" w:sz="4" w:space="0" w:color="auto"/>
            </w:tcBorders>
            <w:shd w:val="clear" w:color="auto" w:fill="auto"/>
          </w:tcPr>
          <w:p w14:paraId="021EFEB7"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13.2</w:t>
            </w:r>
          </w:p>
        </w:tc>
        <w:tc>
          <w:tcPr>
            <w:tcW w:w="1591" w:type="dxa"/>
            <w:tcBorders>
              <w:top w:val="single" w:sz="4" w:space="0" w:color="auto"/>
              <w:left w:val="single" w:sz="4" w:space="0" w:color="auto"/>
              <w:bottom w:val="single" w:sz="4" w:space="0" w:color="auto"/>
            </w:tcBorders>
            <w:shd w:val="clear" w:color="auto" w:fill="auto"/>
          </w:tcPr>
          <w:p w14:paraId="7A1E6C19" w14:textId="37FAF7DE" w:rsidR="00726BE8" w:rsidRPr="00534ECE" w:rsidRDefault="00FE3A36" w:rsidP="00C256BB">
            <w:pPr>
              <w:pStyle w:val="Text"/>
              <w:spacing w:before="100" w:after="100"/>
              <w:jc w:val="center"/>
              <w:rPr>
                <w:rFonts w:cs="Arial"/>
                <w:sz w:val="16"/>
                <w:szCs w:val="16"/>
              </w:rPr>
            </w:pPr>
            <w:r w:rsidRPr="001A79DC">
              <w:rPr>
                <w:rFonts w:cs="Arial"/>
                <w:sz w:val="16"/>
                <w:szCs w:val="16"/>
              </w:rPr>
              <w:t>4–5</w:t>
            </w:r>
          </w:p>
        </w:tc>
      </w:tr>
      <w:tr w:rsidR="00726BE8" w:rsidRPr="00534ECE" w14:paraId="696007B0" w14:textId="77777777" w:rsidTr="00C256BB">
        <w:trPr>
          <w:cantSplit/>
        </w:trPr>
        <w:tc>
          <w:tcPr>
            <w:tcW w:w="1548" w:type="dxa"/>
            <w:vMerge/>
            <w:tcBorders>
              <w:top w:val="single" w:sz="4" w:space="0" w:color="auto"/>
              <w:bottom w:val="single" w:sz="4" w:space="0" w:color="auto"/>
              <w:right w:val="single" w:sz="4" w:space="0" w:color="auto"/>
            </w:tcBorders>
          </w:tcPr>
          <w:p w14:paraId="56517D59"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0F42AA42"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0B8A612C"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13.3</w:t>
            </w:r>
          </w:p>
        </w:tc>
        <w:tc>
          <w:tcPr>
            <w:tcW w:w="1591" w:type="dxa"/>
            <w:tcBorders>
              <w:top w:val="single" w:sz="4" w:space="0" w:color="auto"/>
              <w:left w:val="single" w:sz="4" w:space="0" w:color="auto"/>
              <w:bottom w:val="single" w:sz="4" w:space="0" w:color="auto"/>
            </w:tcBorders>
            <w:shd w:val="clear" w:color="auto" w:fill="auto"/>
          </w:tcPr>
          <w:p w14:paraId="56BE9B7E" w14:textId="63A3ED74" w:rsidR="00726BE8" w:rsidRPr="00534ECE" w:rsidRDefault="00CA7A64" w:rsidP="00C256BB">
            <w:pPr>
              <w:pStyle w:val="Text"/>
              <w:spacing w:before="100" w:after="100"/>
              <w:jc w:val="center"/>
              <w:rPr>
                <w:rFonts w:cs="Arial"/>
                <w:sz w:val="16"/>
                <w:szCs w:val="16"/>
              </w:rPr>
            </w:pPr>
            <w:r>
              <w:rPr>
                <w:rFonts w:cs="Arial"/>
                <w:sz w:val="16"/>
                <w:szCs w:val="16"/>
              </w:rPr>
              <w:t>7</w:t>
            </w:r>
          </w:p>
        </w:tc>
      </w:tr>
      <w:tr w:rsidR="00726BE8" w:rsidRPr="00534ECE" w14:paraId="5E3B5B8D" w14:textId="77777777" w:rsidTr="00C256BB">
        <w:trPr>
          <w:cantSplit/>
        </w:trPr>
        <w:tc>
          <w:tcPr>
            <w:tcW w:w="1548" w:type="dxa"/>
            <w:vMerge/>
            <w:tcBorders>
              <w:top w:val="single" w:sz="4" w:space="0" w:color="auto"/>
              <w:bottom w:val="single" w:sz="4" w:space="0" w:color="auto"/>
              <w:right w:val="single" w:sz="4" w:space="0" w:color="auto"/>
            </w:tcBorders>
          </w:tcPr>
          <w:p w14:paraId="2413DFC1"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297BA969"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872128">
              <w:rPr>
                <w:rFonts w:cs="Arial"/>
                <w:b/>
                <w:sz w:val="16"/>
                <w:szCs w:val="16"/>
              </w:rPr>
              <w:t>Public Sector Ethics</w:t>
            </w:r>
            <w:r w:rsidRPr="00534ECE">
              <w:rPr>
                <w:rFonts w:cs="Arial"/>
                <w:b/>
                <w:i/>
                <w:sz w:val="16"/>
                <w:szCs w:val="16"/>
              </w:rPr>
              <w:t xml:space="preserve"> </w:t>
            </w:r>
          </w:p>
        </w:tc>
        <w:tc>
          <w:tcPr>
            <w:tcW w:w="2520" w:type="dxa"/>
            <w:tcBorders>
              <w:top w:val="single" w:sz="4" w:space="0" w:color="auto"/>
              <w:left w:val="single" w:sz="4" w:space="0" w:color="auto"/>
              <w:bottom w:val="single" w:sz="4" w:space="0" w:color="auto"/>
            </w:tcBorders>
            <w:shd w:val="clear" w:color="auto" w:fill="auto"/>
          </w:tcPr>
          <w:p w14:paraId="081EE0C3" w14:textId="77777777" w:rsidR="00726BE8" w:rsidRPr="00534ECE" w:rsidRDefault="00726BE8" w:rsidP="00C256BB">
            <w:pPr>
              <w:pStyle w:val="Text"/>
              <w:spacing w:before="100" w:after="100"/>
              <w:rPr>
                <w:rFonts w:cs="Arial"/>
                <w:i/>
                <w:sz w:val="16"/>
                <w:szCs w:val="16"/>
              </w:rPr>
            </w:pPr>
            <w:r w:rsidRPr="00534ECE">
              <w:rPr>
                <w:rFonts w:cs="Arial"/>
                <w:i/>
                <w:sz w:val="16"/>
                <w:szCs w:val="16"/>
              </w:rPr>
              <w:t>Public Sector Ethics Act 1994</w:t>
            </w:r>
          </w:p>
          <w:p w14:paraId="23A1547C"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13.4</w:t>
            </w:r>
          </w:p>
        </w:tc>
        <w:tc>
          <w:tcPr>
            <w:tcW w:w="1591" w:type="dxa"/>
            <w:tcBorders>
              <w:top w:val="single" w:sz="4" w:space="0" w:color="auto"/>
              <w:left w:val="single" w:sz="4" w:space="0" w:color="auto"/>
              <w:bottom w:val="single" w:sz="4" w:space="0" w:color="auto"/>
            </w:tcBorders>
            <w:shd w:val="clear" w:color="auto" w:fill="auto"/>
          </w:tcPr>
          <w:p w14:paraId="7F32E2FF" w14:textId="1D78ABB6" w:rsidR="00726BE8" w:rsidRPr="00534ECE" w:rsidRDefault="00A52B78" w:rsidP="00C256BB">
            <w:pPr>
              <w:pStyle w:val="Text"/>
              <w:spacing w:before="100" w:after="100"/>
              <w:jc w:val="center"/>
              <w:rPr>
                <w:rFonts w:cs="Arial"/>
                <w:sz w:val="16"/>
                <w:szCs w:val="16"/>
              </w:rPr>
            </w:pPr>
            <w:r w:rsidRPr="00A63947">
              <w:rPr>
                <w:rFonts w:cs="Arial"/>
                <w:sz w:val="16"/>
                <w:szCs w:val="16"/>
              </w:rPr>
              <w:t xml:space="preserve">18, </w:t>
            </w:r>
            <w:r w:rsidR="00A63947" w:rsidRPr="00A63947">
              <w:rPr>
                <w:rFonts w:cs="Arial"/>
                <w:sz w:val="16"/>
                <w:szCs w:val="16"/>
              </w:rPr>
              <w:t>28</w:t>
            </w:r>
          </w:p>
        </w:tc>
      </w:tr>
      <w:tr w:rsidR="00726BE8" w:rsidRPr="00534ECE" w14:paraId="36637925" w14:textId="77777777" w:rsidTr="00C256BB">
        <w:trPr>
          <w:cantSplit/>
        </w:trPr>
        <w:tc>
          <w:tcPr>
            <w:tcW w:w="1548" w:type="dxa"/>
            <w:vMerge/>
            <w:tcBorders>
              <w:top w:val="single" w:sz="4" w:space="0" w:color="auto"/>
              <w:bottom w:val="single" w:sz="4" w:space="0" w:color="auto"/>
              <w:right w:val="single" w:sz="4" w:space="0" w:color="auto"/>
            </w:tcBorders>
          </w:tcPr>
          <w:p w14:paraId="2634276F"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39D9A6CA" w14:textId="77777777" w:rsidR="00726BE8" w:rsidRPr="00872128"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872128">
              <w:rPr>
                <w:rFonts w:cs="Arial"/>
                <w:b/>
                <w:sz w:val="16"/>
                <w:szCs w:val="16"/>
              </w:rPr>
              <w:t xml:space="preserve">Human Rights </w:t>
            </w:r>
          </w:p>
        </w:tc>
        <w:tc>
          <w:tcPr>
            <w:tcW w:w="2520" w:type="dxa"/>
            <w:tcBorders>
              <w:top w:val="single" w:sz="4" w:space="0" w:color="auto"/>
              <w:left w:val="single" w:sz="4" w:space="0" w:color="auto"/>
              <w:bottom w:val="single" w:sz="4" w:space="0" w:color="auto"/>
            </w:tcBorders>
            <w:shd w:val="clear" w:color="auto" w:fill="auto"/>
          </w:tcPr>
          <w:p w14:paraId="6DE06893" w14:textId="77777777" w:rsidR="00726BE8" w:rsidRPr="006C175E" w:rsidRDefault="00726BE8" w:rsidP="00C256BB">
            <w:pPr>
              <w:pStyle w:val="Text"/>
              <w:spacing w:before="100" w:after="100"/>
              <w:rPr>
                <w:rFonts w:cs="Arial"/>
                <w:i/>
                <w:sz w:val="16"/>
                <w:szCs w:val="16"/>
              </w:rPr>
            </w:pPr>
            <w:r>
              <w:rPr>
                <w:rFonts w:cs="Arial"/>
                <w:i/>
                <w:sz w:val="16"/>
                <w:szCs w:val="16"/>
              </w:rPr>
              <w:t>Human Rights Act 2019</w:t>
            </w:r>
          </w:p>
          <w:p w14:paraId="5518BD65" w14:textId="77777777" w:rsidR="00726BE8" w:rsidRPr="00534ECE" w:rsidRDefault="00726BE8" w:rsidP="00C256BB">
            <w:pPr>
              <w:pStyle w:val="Text"/>
              <w:spacing w:before="100" w:after="100"/>
              <w:rPr>
                <w:rFonts w:cs="Arial"/>
                <w:sz w:val="16"/>
                <w:szCs w:val="16"/>
              </w:rPr>
            </w:pPr>
            <w:r>
              <w:rPr>
                <w:rFonts w:cs="Arial"/>
                <w:sz w:val="16"/>
                <w:szCs w:val="16"/>
              </w:rPr>
              <w:t>ARRs – section 13.5</w:t>
            </w:r>
          </w:p>
        </w:tc>
        <w:tc>
          <w:tcPr>
            <w:tcW w:w="1591" w:type="dxa"/>
            <w:tcBorders>
              <w:top w:val="single" w:sz="4" w:space="0" w:color="auto"/>
              <w:left w:val="single" w:sz="4" w:space="0" w:color="auto"/>
              <w:bottom w:val="single" w:sz="4" w:space="0" w:color="auto"/>
            </w:tcBorders>
            <w:shd w:val="clear" w:color="auto" w:fill="auto"/>
          </w:tcPr>
          <w:p w14:paraId="3126BE68" w14:textId="39603152" w:rsidR="00726BE8" w:rsidRPr="00534ECE" w:rsidRDefault="00455C00" w:rsidP="00C256BB">
            <w:pPr>
              <w:pStyle w:val="Text"/>
              <w:spacing w:before="100" w:after="100"/>
              <w:jc w:val="center"/>
              <w:rPr>
                <w:rFonts w:cs="Arial"/>
                <w:sz w:val="16"/>
                <w:szCs w:val="16"/>
              </w:rPr>
            </w:pPr>
            <w:r>
              <w:rPr>
                <w:rFonts w:cs="Arial"/>
                <w:sz w:val="16"/>
                <w:szCs w:val="16"/>
              </w:rPr>
              <w:t>18</w:t>
            </w:r>
          </w:p>
        </w:tc>
      </w:tr>
      <w:tr w:rsidR="00726BE8" w:rsidRPr="00534ECE" w14:paraId="5DA8E5CE" w14:textId="77777777" w:rsidTr="00C256BB">
        <w:trPr>
          <w:cantSplit/>
        </w:trPr>
        <w:tc>
          <w:tcPr>
            <w:tcW w:w="1548" w:type="dxa"/>
            <w:vMerge/>
            <w:tcBorders>
              <w:top w:val="single" w:sz="4" w:space="0" w:color="auto"/>
              <w:bottom w:val="single" w:sz="4" w:space="0" w:color="auto"/>
              <w:right w:val="single" w:sz="4" w:space="0" w:color="auto"/>
            </w:tcBorders>
          </w:tcPr>
          <w:p w14:paraId="212B405C"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1350BA94"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i/>
                <w:sz w:val="16"/>
                <w:szCs w:val="16"/>
              </w:rPr>
            </w:pPr>
            <w:r w:rsidRPr="00534ECE">
              <w:rPr>
                <w:rFonts w:cs="Arial"/>
                <w:b/>
                <w:sz w:val="16"/>
                <w:szCs w:val="16"/>
              </w:rPr>
              <w:t>Queensland public service values</w:t>
            </w:r>
          </w:p>
        </w:tc>
        <w:tc>
          <w:tcPr>
            <w:tcW w:w="2520" w:type="dxa"/>
            <w:tcBorders>
              <w:top w:val="single" w:sz="4" w:space="0" w:color="auto"/>
              <w:left w:val="single" w:sz="4" w:space="0" w:color="auto"/>
              <w:bottom w:val="single" w:sz="4" w:space="0" w:color="auto"/>
            </w:tcBorders>
            <w:shd w:val="clear" w:color="auto" w:fill="auto"/>
          </w:tcPr>
          <w:p w14:paraId="1B12793D" w14:textId="77777777" w:rsidR="00726BE8" w:rsidRPr="00534ECE" w:rsidRDefault="00726BE8" w:rsidP="00C256BB">
            <w:pPr>
              <w:pStyle w:val="Text"/>
              <w:spacing w:before="100" w:after="100"/>
              <w:rPr>
                <w:rFonts w:cs="Arial"/>
                <w:i/>
                <w:sz w:val="16"/>
                <w:szCs w:val="16"/>
              </w:rPr>
            </w:pPr>
            <w:r w:rsidRPr="00534ECE">
              <w:rPr>
                <w:rFonts w:cs="Arial"/>
                <w:sz w:val="16"/>
                <w:szCs w:val="16"/>
              </w:rPr>
              <w:t>ARRs – section 13.</w:t>
            </w:r>
            <w:r>
              <w:rPr>
                <w:rFonts w:cs="Arial"/>
                <w:sz w:val="16"/>
                <w:szCs w:val="16"/>
              </w:rPr>
              <w:t>6</w:t>
            </w:r>
          </w:p>
        </w:tc>
        <w:tc>
          <w:tcPr>
            <w:tcW w:w="1591" w:type="dxa"/>
            <w:tcBorders>
              <w:top w:val="single" w:sz="4" w:space="0" w:color="auto"/>
              <w:left w:val="single" w:sz="4" w:space="0" w:color="auto"/>
              <w:bottom w:val="single" w:sz="4" w:space="0" w:color="auto"/>
            </w:tcBorders>
            <w:shd w:val="clear" w:color="auto" w:fill="auto"/>
          </w:tcPr>
          <w:p w14:paraId="2EC1D8DA" w14:textId="3A50E637" w:rsidR="00726BE8" w:rsidRPr="00534ECE" w:rsidRDefault="00B52664" w:rsidP="00C256BB">
            <w:pPr>
              <w:pStyle w:val="Text"/>
              <w:spacing w:before="100" w:after="100"/>
              <w:jc w:val="center"/>
              <w:rPr>
                <w:rFonts w:cs="Arial"/>
                <w:sz w:val="16"/>
                <w:szCs w:val="16"/>
              </w:rPr>
            </w:pPr>
            <w:r>
              <w:rPr>
                <w:rFonts w:cs="Arial"/>
                <w:sz w:val="16"/>
                <w:szCs w:val="16"/>
              </w:rPr>
              <w:t>28</w:t>
            </w:r>
          </w:p>
        </w:tc>
      </w:tr>
      <w:tr w:rsidR="00726BE8" w:rsidRPr="00534ECE" w14:paraId="45E9CD57" w14:textId="77777777" w:rsidTr="00C256BB">
        <w:trPr>
          <w:cantSplit/>
        </w:trPr>
        <w:tc>
          <w:tcPr>
            <w:tcW w:w="1548" w:type="dxa"/>
            <w:vMerge w:val="restart"/>
            <w:tcBorders>
              <w:top w:val="single" w:sz="4" w:space="0" w:color="auto"/>
              <w:right w:val="single" w:sz="4" w:space="0" w:color="auto"/>
            </w:tcBorders>
          </w:tcPr>
          <w:p w14:paraId="3384FC09"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Governance – risk management and accountability</w:t>
            </w:r>
          </w:p>
        </w:tc>
        <w:tc>
          <w:tcPr>
            <w:tcW w:w="4264" w:type="dxa"/>
            <w:tcBorders>
              <w:top w:val="nil"/>
              <w:left w:val="single" w:sz="4" w:space="0" w:color="auto"/>
              <w:bottom w:val="single" w:sz="4" w:space="0" w:color="auto"/>
              <w:right w:val="single" w:sz="4" w:space="0" w:color="auto"/>
            </w:tcBorders>
          </w:tcPr>
          <w:p w14:paraId="0FC5A3D7"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Risk management</w:t>
            </w:r>
          </w:p>
        </w:tc>
        <w:tc>
          <w:tcPr>
            <w:tcW w:w="2520" w:type="dxa"/>
            <w:tcBorders>
              <w:top w:val="nil"/>
              <w:left w:val="single" w:sz="4" w:space="0" w:color="auto"/>
              <w:bottom w:val="single" w:sz="4" w:space="0" w:color="auto"/>
            </w:tcBorders>
            <w:shd w:val="clear" w:color="auto" w:fill="auto"/>
          </w:tcPr>
          <w:p w14:paraId="2C2B15EB" w14:textId="77777777" w:rsidR="00726BE8" w:rsidRPr="00534ECE" w:rsidRDefault="00726BE8" w:rsidP="00C256BB">
            <w:pPr>
              <w:pStyle w:val="Text"/>
              <w:tabs>
                <w:tab w:val="right" w:pos="2304"/>
              </w:tabs>
              <w:spacing w:before="100" w:after="100"/>
              <w:rPr>
                <w:rFonts w:cs="Arial"/>
                <w:sz w:val="16"/>
                <w:szCs w:val="16"/>
              </w:rPr>
            </w:pPr>
            <w:r w:rsidRPr="00534ECE">
              <w:rPr>
                <w:rFonts w:cs="Arial"/>
                <w:sz w:val="16"/>
                <w:szCs w:val="16"/>
              </w:rPr>
              <w:t>ARRs – section 14.1</w:t>
            </w:r>
          </w:p>
        </w:tc>
        <w:tc>
          <w:tcPr>
            <w:tcW w:w="1591" w:type="dxa"/>
            <w:tcBorders>
              <w:top w:val="nil"/>
              <w:left w:val="single" w:sz="4" w:space="0" w:color="auto"/>
              <w:bottom w:val="single" w:sz="4" w:space="0" w:color="auto"/>
            </w:tcBorders>
            <w:shd w:val="clear" w:color="auto" w:fill="auto"/>
          </w:tcPr>
          <w:p w14:paraId="0BF4B5A9" w14:textId="4C9C9423" w:rsidR="00726BE8" w:rsidRPr="00534ECE" w:rsidRDefault="00D61FA9" w:rsidP="00C256BB">
            <w:pPr>
              <w:pStyle w:val="Text"/>
              <w:spacing w:before="100" w:after="100"/>
              <w:jc w:val="center"/>
              <w:rPr>
                <w:rFonts w:cs="Arial"/>
                <w:sz w:val="16"/>
                <w:szCs w:val="16"/>
              </w:rPr>
            </w:pPr>
            <w:r>
              <w:rPr>
                <w:rFonts w:cs="Arial"/>
                <w:sz w:val="16"/>
                <w:szCs w:val="16"/>
              </w:rPr>
              <w:t>18</w:t>
            </w:r>
          </w:p>
        </w:tc>
      </w:tr>
      <w:tr w:rsidR="00726BE8" w:rsidRPr="00534ECE" w14:paraId="634CD69F" w14:textId="77777777" w:rsidTr="00C256BB">
        <w:trPr>
          <w:cantSplit/>
        </w:trPr>
        <w:tc>
          <w:tcPr>
            <w:tcW w:w="1548" w:type="dxa"/>
            <w:vMerge/>
            <w:tcBorders>
              <w:right w:val="single" w:sz="4" w:space="0" w:color="auto"/>
            </w:tcBorders>
          </w:tcPr>
          <w:p w14:paraId="35775E3E"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F674FFC"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Audit committee</w:t>
            </w:r>
          </w:p>
        </w:tc>
        <w:tc>
          <w:tcPr>
            <w:tcW w:w="2520" w:type="dxa"/>
            <w:tcBorders>
              <w:top w:val="single" w:sz="4" w:space="0" w:color="auto"/>
              <w:left w:val="single" w:sz="4" w:space="0" w:color="auto"/>
              <w:bottom w:val="single" w:sz="4" w:space="0" w:color="auto"/>
            </w:tcBorders>
            <w:shd w:val="clear" w:color="auto" w:fill="auto"/>
          </w:tcPr>
          <w:p w14:paraId="797439C1"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14.2</w:t>
            </w:r>
          </w:p>
        </w:tc>
        <w:tc>
          <w:tcPr>
            <w:tcW w:w="1591" w:type="dxa"/>
            <w:tcBorders>
              <w:top w:val="single" w:sz="4" w:space="0" w:color="auto"/>
              <w:left w:val="single" w:sz="4" w:space="0" w:color="auto"/>
              <w:bottom w:val="single" w:sz="4" w:space="0" w:color="auto"/>
            </w:tcBorders>
            <w:shd w:val="clear" w:color="auto" w:fill="auto"/>
          </w:tcPr>
          <w:p w14:paraId="7AD89EB1" w14:textId="3B953BD4" w:rsidR="00726BE8" w:rsidRPr="00534ECE" w:rsidRDefault="00A7285D" w:rsidP="00C256BB">
            <w:pPr>
              <w:pStyle w:val="Text"/>
              <w:spacing w:before="100" w:after="100"/>
              <w:jc w:val="center"/>
              <w:rPr>
                <w:rFonts w:cs="Arial"/>
                <w:sz w:val="16"/>
                <w:szCs w:val="16"/>
              </w:rPr>
            </w:pPr>
            <w:r>
              <w:rPr>
                <w:rFonts w:cs="Arial"/>
                <w:sz w:val="16"/>
                <w:szCs w:val="16"/>
              </w:rPr>
              <w:t>N/A</w:t>
            </w:r>
          </w:p>
        </w:tc>
      </w:tr>
      <w:tr w:rsidR="00726BE8" w:rsidRPr="00534ECE" w14:paraId="3BEC2B1F" w14:textId="77777777" w:rsidTr="00C256BB">
        <w:trPr>
          <w:cantSplit/>
          <w:trHeight w:val="422"/>
        </w:trPr>
        <w:tc>
          <w:tcPr>
            <w:tcW w:w="1548" w:type="dxa"/>
            <w:vMerge/>
            <w:tcBorders>
              <w:right w:val="single" w:sz="4" w:space="0" w:color="auto"/>
            </w:tcBorders>
          </w:tcPr>
          <w:p w14:paraId="15D28860"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48C692F5"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Internal audit</w:t>
            </w:r>
          </w:p>
        </w:tc>
        <w:tc>
          <w:tcPr>
            <w:tcW w:w="2520" w:type="dxa"/>
            <w:tcBorders>
              <w:top w:val="single" w:sz="4" w:space="0" w:color="auto"/>
              <w:left w:val="single" w:sz="4" w:space="0" w:color="auto"/>
              <w:bottom w:val="single" w:sz="4" w:space="0" w:color="auto"/>
            </w:tcBorders>
            <w:shd w:val="clear" w:color="auto" w:fill="auto"/>
          </w:tcPr>
          <w:p w14:paraId="050090CE"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14.3</w:t>
            </w:r>
          </w:p>
        </w:tc>
        <w:tc>
          <w:tcPr>
            <w:tcW w:w="1591" w:type="dxa"/>
            <w:tcBorders>
              <w:top w:val="single" w:sz="4" w:space="0" w:color="auto"/>
              <w:left w:val="single" w:sz="4" w:space="0" w:color="auto"/>
              <w:bottom w:val="single" w:sz="4" w:space="0" w:color="auto"/>
            </w:tcBorders>
            <w:shd w:val="clear" w:color="auto" w:fill="auto"/>
          </w:tcPr>
          <w:p w14:paraId="01BFF379" w14:textId="4C032A8F" w:rsidR="00726BE8" w:rsidRPr="00534ECE" w:rsidRDefault="00D61FA9" w:rsidP="00C256BB">
            <w:pPr>
              <w:pStyle w:val="Text"/>
              <w:spacing w:before="100" w:after="100"/>
              <w:jc w:val="center"/>
              <w:rPr>
                <w:rFonts w:cs="Arial"/>
                <w:sz w:val="16"/>
                <w:szCs w:val="16"/>
              </w:rPr>
            </w:pPr>
            <w:r>
              <w:rPr>
                <w:rFonts w:cs="Arial"/>
                <w:sz w:val="16"/>
                <w:szCs w:val="16"/>
              </w:rPr>
              <w:t>18</w:t>
            </w:r>
          </w:p>
        </w:tc>
      </w:tr>
      <w:tr w:rsidR="00726BE8" w:rsidRPr="00534ECE" w14:paraId="21154AAF" w14:textId="77777777" w:rsidTr="00C256BB">
        <w:trPr>
          <w:cantSplit/>
          <w:trHeight w:val="422"/>
        </w:trPr>
        <w:tc>
          <w:tcPr>
            <w:tcW w:w="1548" w:type="dxa"/>
            <w:vMerge/>
            <w:tcBorders>
              <w:right w:val="single" w:sz="4" w:space="0" w:color="auto"/>
            </w:tcBorders>
          </w:tcPr>
          <w:p w14:paraId="6E3F06A6"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02EEFC9A"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External scrutiny</w:t>
            </w:r>
          </w:p>
        </w:tc>
        <w:tc>
          <w:tcPr>
            <w:tcW w:w="2520" w:type="dxa"/>
            <w:tcBorders>
              <w:top w:val="single" w:sz="4" w:space="0" w:color="auto"/>
              <w:left w:val="single" w:sz="4" w:space="0" w:color="auto"/>
              <w:bottom w:val="single" w:sz="4" w:space="0" w:color="auto"/>
            </w:tcBorders>
            <w:shd w:val="clear" w:color="auto" w:fill="auto"/>
          </w:tcPr>
          <w:p w14:paraId="255D61CF"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14.4</w:t>
            </w:r>
          </w:p>
        </w:tc>
        <w:tc>
          <w:tcPr>
            <w:tcW w:w="1591" w:type="dxa"/>
            <w:tcBorders>
              <w:top w:val="single" w:sz="4" w:space="0" w:color="auto"/>
              <w:left w:val="single" w:sz="4" w:space="0" w:color="auto"/>
              <w:bottom w:val="single" w:sz="4" w:space="0" w:color="auto"/>
            </w:tcBorders>
            <w:shd w:val="clear" w:color="auto" w:fill="auto"/>
          </w:tcPr>
          <w:p w14:paraId="0A7E0F15" w14:textId="47C10861" w:rsidR="00726BE8" w:rsidRPr="00534ECE" w:rsidRDefault="00147076" w:rsidP="00C256BB">
            <w:pPr>
              <w:pStyle w:val="Text"/>
              <w:spacing w:before="100" w:after="100"/>
              <w:jc w:val="center"/>
              <w:rPr>
                <w:rFonts w:cs="Arial"/>
                <w:sz w:val="16"/>
                <w:szCs w:val="16"/>
              </w:rPr>
            </w:pPr>
            <w:r>
              <w:rPr>
                <w:rFonts w:cs="Arial"/>
                <w:sz w:val="16"/>
                <w:szCs w:val="16"/>
              </w:rPr>
              <w:t>N/A</w:t>
            </w:r>
          </w:p>
        </w:tc>
      </w:tr>
      <w:tr w:rsidR="00726BE8" w:rsidRPr="00534ECE" w14:paraId="57BA46C7" w14:textId="77777777" w:rsidTr="00C256BB">
        <w:trPr>
          <w:cantSplit/>
          <w:trHeight w:val="422"/>
        </w:trPr>
        <w:tc>
          <w:tcPr>
            <w:tcW w:w="1548" w:type="dxa"/>
            <w:vMerge/>
            <w:tcBorders>
              <w:right w:val="single" w:sz="4" w:space="0" w:color="auto"/>
            </w:tcBorders>
          </w:tcPr>
          <w:p w14:paraId="48DEDBF0"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28A86127"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5EA3DC46"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14.5</w:t>
            </w:r>
          </w:p>
        </w:tc>
        <w:tc>
          <w:tcPr>
            <w:tcW w:w="1591" w:type="dxa"/>
            <w:tcBorders>
              <w:top w:val="single" w:sz="4" w:space="0" w:color="auto"/>
              <w:left w:val="single" w:sz="4" w:space="0" w:color="auto"/>
              <w:bottom w:val="single" w:sz="4" w:space="0" w:color="auto"/>
            </w:tcBorders>
            <w:shd w:val="clear" w:color="auto" w:fill="auto"/>
          </w:tcPr>
          <w:p w14:paraId="4F4651BB" w14:textId="308498DA" w:rsidR="00726BE8" w:rsidRPr="00534ECE" w:rsidRDefault="00D61FA9" w:rsidP="00C256BB">
            <w:pPr>
              <w:pStyle w:val="Text"/>
              <w:spacing w:before="100" w:after="100"/>
              <w:jc w:val="center"/>
              <w:rPr>
                <w:rFonts w:cs="Arial"/>
                <w:sz w:val="16"/>
                <w:szCs w:val="16"/>
              </w:rPr>
            </w:pPr>
            <w:r>
              <w:rPr>
                <w:rFonts w:cs="Arial"/>
                <w:sz w:val="16"/>
                <w:szCs w:val="16"/>
              </w:rPr>
              <w:t>18</w:t>
            </w:r>
          </w:p>
        </w:tc>
      </w:tr>
      <w:tr w:rsidR="00726BE8" w:rsidRPr="00534ECE" w14:paraId="39D587CB" w14:textId="77777777" w:rsidTr="00C256BB">
        <w:trPr>
          <w:cantSplit/>
          <w:trHeight w:val="422"/>
        </w:trPr>
        <w:tc>
          <w:tcPr>
            <w:tcW w:w="1548" w:type="dxa"/>
            <w:vMerge/>
            <w:tcBorders>
              <w:bottom w:val="single" w:sz="4" w:space="0" w:color="auto"/>
              <w:right w:val="single" w:sz="4" w:space="0" w:color="auto"/>
            </w:tcBorders>
          </w:tcPr>
          <w:p w14:paraId="203A23F3"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7181EB14"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Pr>
                <w:rFonts w:cs="Arial"/>
                <w:b/>
                <w:sz w:val="16"/>
                <w:szCs w:val="16"/>
              </w:rPr>
              <w:t>Information Security attestation</w:t>
            </w:r>
          </w:p>
        </w:tc>
        <w:tc>
          <w:tcPr>
            <w:tcW w:w="2520" w:type="dxa"/>
            <w:tcBorders>
              <w:top w:val="single" w:sz="4" w:space="0" w:color="auto"/>
              <w:left w:val="single" w:sz="4" w:space="0" w:color="auto"/>
              <w:bottom w:val="single" w:sz="4" w:space="0" w:color="auto"/>
            </w:tcBorders>
            <w:shd w:val="clear" w:color="auto" w:fill="auto"/>
          </w:tcPr>
          <w:p w14:paraId="20245B40" w14:textId="77777777" w:rsidR="00726BE8" w:rsidRPr="00534ECE" w:rsidRDefault="00726BE8" w:rsidP="00C256BB">
            <w:pPr>
              <w:pStyle w:val="Text"/>
              <w:spacing w:before="100" w:after="100"/>
              <w:rPr>
                <w:rFonts w:cs="Arial"/>
                <w:sz w:val="16"/>
                <w:szCs w:val="16"/>
              </w:rPr>
            </w:pPr>
            <w:r>
              <w:rPr>
                <w:rFonts w:cs="Arial"/>
                <w:sz w:val="16"/>
                <w:szCs w:val="16"/>
              </w:rPr>
              <w:t>ARRs – section 14.6</w:t>
            </w:r>
          </w:p>
        </w:tc>
        <w:tc>
          <w:tcPr>
            <w:tcW w:w="1591" w:type="dxa"/>
            <w:tcBorders>
              <w:top w:val="single" w:sz="4" w:space="0" w:color="auto"/>
              <w:left w:val="single" w:sz="4" w:space="0" w:color="auto"/>
              <w:bottom w:val="single" w:sz="4" w:space="0" w:color="auto"/>
            </w:tcBorders>
            <w:shd w:val="clear" w:color="auto" w:fill="auto"/>
          </w:tcPr>
          <w:p w14:paraId="2DCD58D4" w14:textId="5F2A35AD" w:rsidR="00726BE8" w:rsidRPr="00534ECE" w:rsidRDefault="00A52B78" w:rsidP="00C256BB">
            <w:pPr>
              <w:pStyle w:val="Text"/>
              <w:spacing w:before="100" w:after="100"/>
              <w:jc w:val="center"/>
              <w:rPr>
                <w:rFonts w:cs="Arial"/>
                <w:sz w:val="16"/>
                <w:szCs w:val="16"/>
              </w:rPr>
            </w:pPr>
            <w:r>
              <w:rPr>
                <w:rFonts w:cs="Arial"/>
                <w:sz w:val="16"/>
                <w:szCs w:val="16"/>
              </w:rPr>
              <w:t>N/A</w:t>
            </w:r>
          </w:p>
        </w:tc>
      </w:tr>
      <w:tr w:rsidR="00726BE8" w:rsidRPr="00534ECE" w14:paraId="0E70E98F" w14:textId="77777777" w:rsidTr="00C256BB">
        <w:trPr>
          <w:cantSplit/>
        </w:trPr>
        <w:tc>
          <w:tcPr>
            <w:tcW w:w="1548" w:type="dxa"/>
            <w:vMerge w:val="restart"/>
            <w:tcBorders>
              <w:top w:val="single" w:sz="4" w:space="0" w:color="auto"/>
              <w:right w:val="single" w:sz="4" w:space="0" w:color="auto"/>
            </w:tcBorders>
          </w:tcPr>
          <w:p w14:paraId="4FC75B39" w14:textId="77777777" w:rsidR="00726BE8" w:rsidRPr="00534ECE" w:rsidRDefault="00726BE8" w:rsidP="00C256BB">
            <w:pPr>
              <w:pStyle w:val="Text"/>
              <w:spacing w:before="100" w:after="100"/>
              <w:rPr>
                <w:rFonts w:cs="Arial"/>
                <w:b/>
                <w:bCs/>
                <w:sz w:val="16"/>
                <w:szCs w:val="16"/>
              </w:rPr>
            </w:pPr>
            <w:r w:rsidRPr="00534ECE">
              <w:rPr>
                <w:rFonts w:cs="Arial"/>
                <w:b/>
                <w:bCs/>
                <w:sz w:val="16"/>
                <w:szCs w:val="16"/>
              </w:rPr>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2E0389CD"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Strategic workforce planning and performance</w:t>
            </w:r>
          </w:p>
        </w:tc>
        <w:tc>
          <w:tcPr>
            <w:tcW w:w="2520" w:type="dxa"/>
            <w:tcBorders>
              <w:top w:val="single" w:sz="4" w:space="0" w:color="auto"/>
              <w:left w:val="single" w:sz="4" w:space="0" w:color="auto"/>
              <w:bottom w:val="single" w:sz="4" w:space="0" w:color="auto"/>
            </w:tcBorders>
            <w:shd w:val="clear" w:color="auto" w:fill="auto"/>
          </w:tcPr>
          <w:p w14:paraId="58CA4D1F"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15.1</w:t>
            </w:r>
          </w:p>
        </w:tc>
        <w:tc>
          <w:tcPr>
            <w:tcW w:w="1591" w:type="dxa"/>
            <w:tcBorders>
              <w:top w:val="single" w:sz="4" w:space="0" w:color="auto"/>
              <w:left w:val="single" w:sz="4" w:space="0" w:color="auto"/>
              <w:bottom w:val="single" w:sz="4" w:space="0" w:color="auto"/>
            </w:tcBorders>
            <w:shd w:val="clear" w:color="auto" w:fill="auto"/>
          </w:tcPr>
          <w:p w14:paraId="63FD7B52" w14:textId="69E8A20F" w:rsidR="00726BE8" w:rsidRPr="00534ECE" w:rsidRDefault="00974BA2" w:rsidP="00C256BB">
            <w:pPr>
              <w:pStyle w:val="Text"/>
              <w:spacing w:before="100" w:after="100"/>
              <w:jc w:val="center"/>
              <w:rPr>
                <w:rFonts w:cs="Arial"/>
                <w:sz w:val="16"/>
                <w:szCs w:val="16"/>
              </w:rPr>
            </w:pPr>
            <w:r>
              <w:rPr>
                <w:rFonts w:cs="Arial"/>
                <w:sz w:val="16"/>
                <w:szCs w:val="16"/>
              </w:rPr>
              <w:t>28–31</w:t>
            </w:r>
          </w:p>
        </w:tc>
      </w:tr>
      <w:tr w:rsidR="00726BE8" w:rsidRPr="00534ECE" w14:paraId="186D193C" w14:textId="77777777" w:rsidTr="00C256BB">
        <w:trPr>
          <w:cantSplit/>
        </w:trPr>
        <w:tc>
          <w:tcPr>
            <w:tcW w:w="1548" w:type="dxa"/>
            <w:vMerge/>
            <w:tcBorders>
              <w:right w:val="single" w:sz="4" w:space="0" w:color="auto"/>
            </w:tcBorders>
          </w:tcPr>
          <w:p w14:paraId="1CBCD497" w14:textId="77777777" w:rsidR="00726BE8" w:rsidRPr="00534ECE" w:rsidRDefault="00726BE8" w:rsidP="00C256BB">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13345CD4"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 xml:space="preserve">Early retirement, </w:t>
            </w:r>
            <w:proofErr w:type="gramStart"/>
            <w:r w:rsidRPr="00534ECE">
              <w:rPr>
                <w:rFonts w:cs="Arial"/>
                <w:b/>
                <w:sz w:val="16"/>
                <w:szCs w:val="16"/>
              </w:rPr>
              <w:t>redundancy</w:t>
            </w:r>
            <w:proofErr w:type="gramEnd"/>
            <w:r w:rsidRPr="00534ECE">
              <w:rPr>
                <w:rFonts w:cs="Arial"/>
                <w:b/>
                <w:sz w:val="16"/>
                <w:szCs w:val="16"/>
              </w:rPr>
              <w:t xml:space="preserve"> and retrenchment</w:t>
            </w:r>
          </w:p>
        </w:tc>
        <w:tc>
          <w:tcPr>
            <w:tcW w:w="2520" w:type="dxa"/>
            <w:tcBorders>
              <w:top w:val="single" w:sz="4" w:space="0" w:color="auto"/>
              <w:left w:val="single" w:sz="4" w:space="0" w:color="auto"/>
              <w:bottom w:val="single" w:sz="4" w:space="0" w:color="auto"/>
            </w:tcBorders>
            <w:shd w:val="clear" w:color="auto" w:fill="auto"/>
          </w:tcPr>
          <w:p w14:paraId="5AD9FECA" w14:textId="77777777" w:rsidR="00726BE8" w:rsidRPr="00534ECE" w:rsidRDefault="00726BE8" w:rsidP="00C256BB">
            <w:pPr>
              <w:pStyle w:val="Text"/>
              <w:spacing w:before="100" w:after="100"/>
              <w:rPr>
                <w:rFonts w:cs="Arial"/>
                <w:sz w:val="16"/>
                <w:szCs w:val="16"/>
              </w:rPr>
            </w:pPr>
            <w:r w:rsidRPr="00534ECE">
              <w:rPr>
                <w:rFonts w:cs="Arial"/>
                <w:sz w:val="16"/>
                <w:szCs w:val="16"/>
              </w:rPr>
              <w:t xml:space="preserve">Directive No.04/18 </w:t>
            </w:r>
            <w:r w:rsidRPr="00534ECE">
              <w:rPr>
                <w:rFonts w:cs="Arial"/>
                <w:i/>
                <w:sz w:val="16"/>
                <w:szCs w:val="16"/>
              </w:rPr>
              <w:t xml:space="preserve">Early Retirement, Redundancy and Retrenchment </w:t>
            </w:r>
          </w:p>
          <w:p w14:paraId="78107A0C"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15.2</w:t>
            </w:r>
          </w:p>
        </w:tc>
        <w:tc>
          <w:tcPr>
            <w:tcW w:w="1591" w:type="dxa"/>
            <w:tcBorders>
              <w:top w:val="single" w:sz="4" w:space="0" w:color="auto"/>
              <w:left w:val="single" w:sz="4" w:space="0" w:color="auto"/>
              <w:bottom w:val="single" w:sz="4" w:space="0" w:color="auto"/>
            </w:tcBorders>
            <w:shd w:val="clear" w:color="auto" w:fill="auto"/>
          </w:tcPr>
          <w:p w14:paraId="2B27296E" w14:textId="1C9E0280" w:rsidR="00726BE8" w:rsidRPr="00534ECE" w:rsidRDefault="00974BA2" w:rsidP="00C256BB">
            <w:pPr>
              <w:pStyle w:val="Text"/>
              <w:spacing w:before="100" w:after="100"/>
              <w:jc w:val="center"/>
              <w:rPr>
                <w:rFonts w:cs="Arial"/>
                <w:sz w:val="16"/>
                <w:szCs w:val="16"/>
              </w:rPr>
            </w:pPr>
            <w:r>
              <w:rPr>
                <w:rFonts w:cs="Arial"/>
                <w:sz w:val="16"/>
                <w:szCs w:val="16"/>
              </w:rPr>
              <w:t>29</w:t>
            </w:r>
          </w:p>
        </w:tc>
      </w:tr>
      <w:tr w:rsidR="00726BE8" w:rsidRPr="00534ECE" w14:paraId="030ADAC9" w14:textId="77777777" w:rsidTr="00C256BB">
        <w:trPr>
          <w:cantSplit/>
        </w:trPr>
        <w:tc>
          <w:tcPr>
            <w:tcW w:w="1548" w:type="dxa"/>
            <w:vMerge w:val="restart"/>
            <w:tcBorders>
              <w:top w:val="single" w:sz="4" w:space="0" w:color="auto"/>
              <w:right w:val="single" w:sz="4" w:space="0" w:color="auto"/>
            </w:tcBorders>
          </w:tcPr>
          <w:p w14:paraId="2C6DD616" w14:textId="44DF2852" w:rsidR="00726BE8" w:rsidRPr="00534ECE" w:rsidRDefault="00726BE8" w:rsidP="00C256BB">
            <w:pPr>
              <w:pStyle w:val="Text"/>
              <w:spacing w:before="100" w:after="100"/>
              <w:rPr>
                <w:rFonts w:cs="Arial"/>
                <w:b/>
                <w:bCs/>
                <w:sz w:val="16"/>
              </w:rPr>
            </w:pPr>
            <w:r w:rsidRPr="00534ECE">
              <w:rPr>
                <w:rFonts w:cs="Arial"/>
                <w:b/>
                <w:bCs/>
                <w:sz w:val="16"/>
              </w:rPr>
              <w:t xml:space="preserve">Open </w:t>
            </w:r>
            <w:r w:rsidR="00DA4796">
              <w:rPr>
                <w:rFonts w:cs="Arial"/>
                <w:b/>
                <w:bCs/>
                <w:sz w:val="16"/>
              </w:rPr>
              <w:t>d</w:t>
            </w:r>
            <w:r w:rsidRPr="00534ECE">
              <w:rPr>
                <w:rFonts w:cs="Arial"/>
                <w:b/>
                <w:bCs/>
                <w:sz w:val="16"/>
              </w:rPr>
              <w:t>ata</w:t>
            </w:r>
          </w:p>
        </w:tc>
        <w:tc>
          <w:tcPr>
            <w:tcW w:w="4264" w:type="dxa"/>
            <w:tcBorders>
              <w:top w:val="single" w:sz="4" w:space="0" w:color="auto"/>
              <w:left w:val="single" w:sz="4" w:space="0" w:color="auto"/>
              <w:bottom w:val="single" w:sz="4" w:space="0" w:color="auto"/>
              <w:right w:val="single" w:sz="4" w:space="0" w:color="auto"/>
            </w:tcBorders>
          </w:tcPr>
          <w:p w14:paraId="0CBAC1D1"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73AA2EC3"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16</w:t>
            </w:r>
          </w:p>
        </w:tc>
        <w:tc>
          <w:tcPr>
            <w:tcW w:w="1591" w:type="dxa"/>
            <w:tcBorders>
              <w:top w:val="single" w:sz="4" w:space="0" w:color="auto"/>
              <w:left w:val="single" w:sz="4" w:space="0" w:color="auto"/>
              <w:bottom w:val="single" w:sz="4" w:space="0" w:color="auto"/>
            </w:tcBorders>
            <w:shd w:val="clear" w:color="auto" w:fill="auto"/>
          </w:tcPr>
          <w:p w14:paraId="62D0E5C0" w14:textId="63CA9D00" w:rsidR="00726BE8" w:rsidRPr="00534ECE" w:rsidRDefault="00D15BD3" w:rsidP="00C256BB">
            <w:pPr>
              <w:pStyle w:val="Text"/>
              <w:spacing w:before="100" w:after="100"/>
              <w:jc w:val="center"/>
              <w:rPr>
                <w:rFonts w:cs="Arial"/>
                <w:sz w:val="16"/>
                <w:szCs w:val="16"/>
              </w:rPr>
            </w:pPr>
            <w:r>
              <w:rPr>
                <w:rFonts w:cs="Arial"/>
                <w:sz w:val="16"/>
                <w:szCs w:val="16"/>
              </w:rPr>
              <w:t>6</w:t>
            </w:r>
            <w:r w:rsidR="00957026">
              <w:rPr>
                <w:rFonts w:cs="Arial"/>
                <w:sz w:val="16"/>
                <w:szCs w:val="16"/>
              </w:rPr>
              <w:t>2</w:t>
            </w:r>
          </w:p>
        </w:tc>
      </w:tr>
      <w:tr w:rsidR="00726BE8" w:rsidRPr="00534ECE" w14:paraId="71F47C81" w14:textId="77777777" w:rsidTr="00C256BB">
        <w:trPr>
          <w:cantSplit/>
        </w:trPr>
        <w:tc>
          <w:tcPr>
            <w:tcW w:w="1548" w:type="dxa"/>
            <w:vMerge/>
            <w:tcBorders>
              <w:right w:val="single" w:sz="4" w:space="0" w:color="auto"/>
            </w:tcBorders>
          </w:tcPr>
          <w:p w14:paraId="5277F0F0"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5E630F90"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 xml:space="preserve">Consultancies </w:t>
            </w:r>
          </w:p>
        </w:tc>
        <w:tc>
          <w:tcPr>
            <w:tcW w:w="2520" w:type="dxa"/>
            <w:tcBorders>
              <w:top w:val="single" w:sz="4" w:space="0" w:color="auto"/>
              <w:left w:val="single" w:sz="4" w:space="0" w:color="auto"/>
              <w:bottom w:val="single" w:sz="4" w:space="0" w:color="auto"/>
            </w:tcBorders>
            <w:shd w:val="clear" w:color="auto" w:fill="auto"/>
          </w:tcPr>
          <w:p w14:paraId="1958F922"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33.1</w:t>
            </w:r>
          </w:p>
        </w:tc>
        <w:tc>
          <w:tcPr>
            <w:tcW w:w="1591" w:type="dxa"/>
            <w:tcBorders>
              <w:top w:val="single" w:sz="4" w:space="0" w:color="auto"/>
              <w:left w:val="single" w:sz="4" w:space="0" w:color="auto"/>
              <w:bottom w:val="single" w:sz="4" w:space="0" w:color="auto"/>
            </w:tcBorders>
            <w:shd w:val="clear" w:color="auto" w:fill="auto"/>
          </w:tcPr>
          <w:p w14:paraId="055A3D76" w14:textId="77777777" w:rsidR="00726BE8" w:rsidRPr="00F557CB" w:rsidRDefault="00726BE8" w:rsidP="00C256BB">
            <w:pPr>
              <w:pStyle w:val="Text"/>
              <w:spacing w:before="100" w:after="100"/>
              <w:jc w:val="center"/>
              <w:rPr>
                <w:rFonts w:cs="Arial"/>
                <w:sz w:val="12"/>
                <w:szCs w:val="12"/>
              </w:rPr>
            </w:pPr>
            <w:r w:rsidRPr="008E355B">
              <w:rPr>
                <w:rStyle w:val="Hyperlink"/>
                <w:rFonts w:eastAsiaTheme="majorEastAsia" w:cs="Arial"/>
                <w:sz w:val="12"/>
                <w:szCs w:val="12"/>
              </w:rPr>
              <w:t>https://data.qld.gov.au</w:t>
            </w:r>
          </w:p>
        </w:tc>
      </w:tr>
      <w:tr w:rsidR="00726BE8" w:rsidRPr="00534ECE" w14:paraId="01CDD601" w14:textId="77777777" w:rsidTr="00C256BB">
        <w:trPr>
          <w:cantSplit/>
        </w:trPr>
        <w:tc>
          <w:tcPr>
            <w:tcW w:w="1548" w:type="dxa"/>
            <w:vMerge/>
            <w:tcBorders>
              <w:right w:val="single" w:sz="4" w:space="0" w:color="auto"/>
            </w:tcBorders>
          </w:tcPr>
          <w:p w14:paraId="4B595A3F"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3DE8069E"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Overseas travel</w:t>
            </w:r>
          </w:p>
        </w:tc>
        <w:tc>
          <w:tcPr>
            <w:tcW w:w="2520" w:type="dxa"/>
            <w:tcBorders>
              <w:top w:val="single" w:sz="4" w:space="0" w:color="auto"/>
              <w:left w:val="single" w:sz="4" w:space="0" w:color="auto"/>
              <w:bottom w:val="single" w:sz="4" w:space="0" w:color="auto"/>
            </w:tcBorders>
            <w:shd w:val="clear" w:color="auto" w:fill="auto"/>
          </w:tcPr>
          <w:p w14:paraId="0952AC2D"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33.2</w:t>
            </w:r>
          </w:p>
        </w:tc>
        <w:tc>
          <w:tcPr>
            <w:tcW w:w="1591" w:type="dxa"/>
            <w:tcBorders>
              <w:top w:val="single" w:sz="4" w:space="0" w:color="auto"/>
              <w:left w:val="single" w:sz="4" w:space="0" w:color="auto"/>
              <w:bottom w:val="single" w:sz="4" w:space="0" w:color="auto"/>
            </w:tcBorders>
            <w:shd w:val="clear" w:color="auto" w:fill="auto"/>
          </w:tcPr>
          <w:p w14:paraId="43A3E67B" w14:textId="77777777" w:rsidR="00726BE8" w:rsidRPr="00F557CB" w:rsidRDefault="00726BE8" w:rsidP="00C256BB">
            <w:pPr>
              <w:pStyle w:val="Text"/>
              <w:spacing w:before="100" w:after="100"/>
              <w:jc w:val="center"/>
              <w:rPr>
                <w:rFonts w:cs="Arial"/>
                <w:sz w:val="12"/>
                <w:szCs w:val="12"/>
              </w:rPr>
            </w:pPr>
            <w:r w:rsidRPr="008E355B">
              <w:rPr>
                <w:rStyle w:val="Hyperlink"/>
                <w:rFonts w:eastAsiaTheme="majorEastAsia" w:cs="Arial"/>
                <w:sz w:val="12"/>
                <w:szCs w:val="12"/>
              </w:rPr>
              <w:t>https://data.qld.gov.au</w:t>
            </w:r>
          </w:p>
        </w:tc>
      </w:tr>
      <w:tr w:rsidR="00726BE8" w:rsidRPr="00534ECE" w14:paraId="4B2F1F26" w14:textId="77777777" w:rsidTr="00C256BB">
        <w:trPr>
          <w:cantSplit/>
        </w:trPr>
        <w:tc>
          <w:tcPr>
            <w:tcW w:w="1548" w:type="dxa"/>
            <w:vMerge/>
            <w:tcBorders>
              <w:right w:val="single" w:sz="4" w:space="0" w:color="auto"/>
            </w:tcBorders>
          </w:tcPr>
          <w:p w14:paraId="50978542" w14:textId="77777777" w:rsidR="00726BE8" w:rsidRPr="00534ECE" w:rsidRDefault="00726BE8" w:rsidP="00C256BB">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5FE004DA"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302701CD"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33.3</w:t>
            </w:r>
          </w:p>
        </w:tc>
        <w:tc>
          <w:tcPr>
            <w:tcW w:w="1591" w:type="dxa"/>
            <w:tcBorders>
              <w:top w:val="single" w:sz="4" w:space="0" w:color="auto"/>
              <w:left w:val="single" w:sz="4" w:space="0" w:color="auto"/>
              <w:bottom w:val="single" w:sz="4" w:space="0" w:color="auto"/>
            </w:tcBorders>
            <w:shd w:val="clear" w:color="auto" w:fill="auto"/>
          </w:tcPr>
          <w:p w14:paraId="637CF0CF" w14:textId="788F9353" w:rsidR="00726BE8" w:rsidRPr="00241A24" w:rsidRDefault="00F808FB" w:rsidP="00C256BB">
            <w:pPr>
              <w:pStyle w:val="Text"/>
              <w:spacing w:before="100" w:after="100"/>
              <w:jc w:val="center"/>
              <w:rPr>
                <w:rFonts w:cs="Arial"/>
                <w:sz w:val="16"/>
                <w:szCs w:val="16"/>
              </w:rPr>
            </w:pPr>
            <w:r w:rsidRPr="00241A24">
              <w:rPr>
                <w:rFonts w:cs="Arial"/>
                <w:sz w:val="16"/>
                <w:szCs w:val="16"/>
              </w:rPr>
              <w:t>N/A</w:t>
            </w:r>
          </w:p>
        </w:tc>
      </w:tr>
      <w:tr w:rsidR="00726BE8" w:rsidRPr="00534ECE" w14:paraId="339AB9B2" w14:textId="77777777" w:rsidTr="00C256BB">
        <w:trPr>
          <w:cantSplit/>
        </w:trPr>
        <w:tc>
          <w:tcPr>
            <w:tcW w:w="1548" w:type="dxa"/>
            <w:vMerge w:val="restart"/>
            <w:tcBorders>
              <w:top w:val="single" w:sz="4" w:space="0" w:color="auto"/>
              <w:bottom w:val="single" w:sz="4" w:space="0" w:color="auto"/>
              <w:right w:val="single" w:sz="4" w:space="0" w:color="auto"/>
            </w:tcBorders>
          </w:tcPr>
          <w:p w14:paraId="69CAC87F" w14:textId="77777777" w:rsidR="00726BE8" w:rsidRPr="00534ECE" w:rsidRDefault="00726BE8" w:rsidP="00C256BB">
            <w:pPr>
              <w:pStyle w:val="Text"/>
              <w:spacing w:before="100" w:after="100"/>
              <w:rPr>
                <w:rFonts w:cs="Arial"/>
                <w:b/>
                <w:bCs/>
                <w:sz w:val="16"/>
              </w:rPr>
            </w:pPr>
            <w:r w:rsidRPr="00534ECE">
              <w:rPr>
                <w:rFonts w:cs="Arial"/>
                <w:b/>
                <w:bCs/>
                <w:sz w:val="16"/>
              </w:rPr>
              <w:t>Financial statements</w:t>
            </w:r>
          </w:p>
        </w:tc>
        <w:tc>
          <w:tcPr>
            <w:tcW w:w="4264" w:type="dxa"/>
            <w:tcBorders>
              <w:top w:val="single" w:sz="4" w:space="0" w:color="auto"/>
              <w:left w:val="single" w:sz="4" w:space="0" w:color="auto"/>
              <w:bottom w:val="single" w:sz="4" w:space="0" w:color="auto"/>
              <w:right w:val="single" w:sz="4" w:space="0" w:color="auto"/>
            </w:tcBorders>
          </w:tcPr>
          <w:p w14:paraId="237AAC38"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342DB264" w14:textId="77777777" w:rsidR="00726BE8" w:rsidRPr="00534ECE" w:rsidRDefault="00726BE8" w:rsidP="00C256BB">
            <w:pPr>
              <w:pStyle w:val="Text"/>
              <w:spacing w:before="100" w:after="100"/>
              <w:rPr>
                <w:rFonts w:cs="Arial"/>
                <w:sz w:val="16"/>
                <w:szCs w:val="16"/>
              </w:rPr>
            </w:pPr>
            <w:r w:rsidRPr="00534ECE">
              <w:rPr>
                <w:rFonts w:cs="Arial"/>
                <w:sz w:val="16"/>
                <w:szCs w:val="16"/>
              </w:rPr>
              <w:t>FAA – section 62</w:t>
            </w:r>
          </w:p>
          <w:p w14:paraId="58217C32" w14:textId="77777777" w:rsidR="00726BE8" w:rsidRPr="00534ECE" w:rsidRDefault="00726BE8" w:rsidP="00C256BB">
            <w:pPr>
              <w:pStyle w:val="Text"/>
              <w:spacing w:before="100" w:after="100"/>
              <w:rPr>
                <w:rFonts w:cs="Arial"/>
                <w:sz w:val="16"/>
                <w:szCs w:val="16"/>
              </w:rPr>
            </w:pPr>
            <w:r w:rsidRPr="00534ECE">
              <w:rPr>
                <w:rFonts w:cs="Arial"/>
                <w:sz w:val="16"/>
                <w:szCs w:val="16"/>
              </w:rPr>
              <w:t xml:space="preserve">FPMS – sections </w:t>
            </w:r>
            <w:r>
              <w:rPr>
                <w:rFonts w:cs="Arial"/>
                <w:sz w:val="16"/>
                <w:szCs w:val="16"/>
              </w:rPr>
              <w:t>38</w:t>
            </w:r>
            <w:r w:rsidRPr="00534ECE">
              <w:rPr>
                <w:rFonts w:cs="Arial"/>
                <w:sz w:val="16"/>
                <w:szCs w:val="16"/>
              </w:rPr>
              <w:t xml:space="preserve">, </w:t>
            </w:r>
            <w:r>
              <w:rPr>
                <w:rFonts w:cs="Arial"/>
                <w:sz w:val="16"/>
                <w:szCs w:val="16"/>
              </w:rPr>
              <w:t>39</w:t>
            </w:r>
            <w:r w:rsidRPr="00534ECE">
              <w:rPr>
                <w:rFonts w:cs="Arial"/>
                <w:sz w:val="16"/>
                <w:szCs w:val="16"/>
              </w:rPr>
              <w:t xml:space="preserve"> and </w:t>
            </w:r>
            <w:r>
              <w:rPr>
                <w:rFonts w:cs="Arial"/>
                <w:sz w:val="16"/>
                <w:szCs w:val="16"/>
              </w:rPr>
              <w:t>46</w:t>
            </w:r>
          </w:p>
          <w:p w14:paraId="17A66A26"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17.1</w:t>
            </w:r>
          </w:p>
        </w:tc>
        <w:tc>
          <w:tcPr>
            <w:tcW w:w="1591" w:type="dxa"/>
            <w:tcBorders>
              <w:top w:val="single" w:sz="4" w:space="0" w:color="auto"/>
              <w:left w:val="single" w:sz="4" w:space="0" w:color="auto"/>
              <w:bottom w:val="single" w:sz="4" w:space="0" w:color="auto"/>
            </w:tcBorders>
            <w:shd w:val="clear" w:color="auto" w:fill="auto"/>
          </w:tcPr>
          <w:p w14:paraId="6643016E" w14:textId="6EF5EBC1" w:rsidR="00726BE8" w:rsidRPr="00534ECE" w:rsidRDefault="00974BA2" w:rsidP="00C256BB">
            <w:pPr>
              <w:pStyle w:val="Text"/>
              <w:spacing w:before="100" w:after="100"/>
              <w:jc w:val="center"/>
              <w:rPr>
                <w:rFonts w:cs="Arial"/>
                <w:sz w:val="16"/>
                <w:szCs w:val="16"/>
              </w:rPr>
            </w:pPr>
            <w:r>
              <w:rPr>
                <w:rFonts w:cs="Arial"/>
                <w:sz w:val="16"/>
                <w:szCs w:val="16"/>
              </w:rPr>
              <w:t>5</w:t>
            </w:r>
            <w:r w:rsidR="00957026">
              <w:rPr>
                <w:rFonts w:cs="Arial"/>
                <w:sz w:val="16"/>
                <w:szCs w:val="16"/>
              </w:rPr>
              <w:t>3</w:t>
            </w:r>
          </w:p>
        </w:tc>
      </w:tr>
      <w:tr w:rsidR="00726BE8" w:rsidRPr="00534ECE" w14:paraId="07F04027" w14:textId="77777777" w:rsidTr="00C256BB">
        <w:trPr>
          <w:cantSplit/>
        </w:trPr>
        <w:tc>
          <w:tcPr>
            <w:tcW w:w="1548" w:type="dxa"/>
            <w:vMerge/>
            <w:tcBorders>
              <w:top w:val="single" w:sz="4" w:space="0" w:color="auto"/>
              <w:bottom w:val="single" w:sz="4" w:space="0" w:color="auto"/>
              <w:right w:val="single" w:sz="4" w:space="0" w:color="auto"/>
            </w:tcBorders>
          </w:tcPr>
          <w:p w14:paraId="51D2A83F" w14:textId="77777777" w:rsidR="00726BE8" w:rsidRPr="00534ECE" w:rsidRDefault="00726BE8" w:rsidP="00C256BB">
            <w:pPr>
              <w:pStyle w:val="Text"/>
              <w:spacing w:before="100" w:after="100"/>
              <w:rPr>
                <w:rFonts w:cs="Arial"/>
                <w:bCs/>
                <w:sz w:val="16"/>
              </w:rPr>
            </w:pPr>
          </w:p>
        </w:tc>
        <w:tc>
          <w:tcPr>
            <w:tcW w:w="4264" w:type="dxa"/>
            <w:tcBorders>
              <w:top w:val="single" w:sz="4" w:space="0" w:color="auto"/>
              <w:left w:val="single" w:sz="4" w:space="0" w:color="auto"/>
              <w:bottom w:val="single" w:sz="4" w:space="0" w:color="auto"/>
              <w:right w:val="single" w:sz="4" w:space="0" w:color="auto"/>
            </w:tcBorders>
          </w:tcPr>
          <w:p w14:paraId="198D56C6" w14:textId="77777777" w:rsidR="00726BE8" w:rsidRPr="00534ECE" w:rsidRDefault="00726BE8" w:rsidP="00726BE8">
            <w:pPr>
              <w:pStyle w:val="Text"/>
              <w:numPr>
                <w:ilvl w:val="0"/>
                <w:numId w:val="28"/>
              </w:numPr>
              <w:tabs>
                <w:tab w:val="clear" w:pos="360"/>
                <w:tab w:val="num" w:pos="252"/>
              </w:tabs>
              <w:spacing w:before="100" w:after="100"/>
              <w:ind w:left="252" w:hanging="252"/>
              <w:rPr>
                <w:rFonts w:cs="Arial"/>
                <w:b/>
                <w:sz w:val="16"/>
                <w:szCs w:val="16"/>
              </w:rPr>
            </w:pPr>
            <w:r w:rsidRPr="00534ECE">
              <w:rPr>
                <w:rFonts w:cs="Arial"/>
                <w:b/>
                <w:sz w:val="16"/>
                <w:szCs w:val="16"/>
              </w:rPr>
              <w:t>Independent Auditor’s Report</w:t>
            </w:r>
          </w:p>
        </w:tc>
        <w:tc>
          <w:tcPr>
            <w:tcW w:w="2520" w:type="dxa"/>
            <w:tcBorders>
              <w:top w:val="single" w:sz="4" w:space="0" w:color="auto"/>
              <w:left w:val="single" w:sz="4" w:space="0" w:color="auto"/>
              <w:bottom w:val="single" w:sz="4" w:space="0" w:color="auto"/>
            </w:tcBorders>
            <w:shd w:val="clear" w:color="auto" w:fill="auto"/>
          </w:tcPr>
          <w:p w14:paraId="5E46B442" w14:textId="77777777" w:rsidR="00726BE8" w:rsidRPr="00534ECE" w:rsidRDefault="00726BE8" w:rsidP="00C256BB">
            <w:pPr>
              <w:pStyle w:val="Text"/>
              <w:spacing w:before="100" w:after="100"/>
              <w:rPr>
                <w:rFonts w:cs="Arial"/>
                <w:sz w:val="16"/>
                <w:szCs w:val="16"/>
              </w:rPr>
            </w:pPr>
            <w:r w:rsidRPr="00534ECE">
              <w:rPr>
                <w:rFonts w:cs="Arial"/>
                <w:sz w:val="16"/>
                <w:szCs w:val="16"/>
              </w:rPr>
              <w:t>FAA – section 62</w:t>
            </w:r>
          </w:p>
          <w:p w14:paraId="597E2902" w14:textId="77777777" w:rsidR="00726BE8" w:rsidRPr="00534ECE" w:rsidRDefault="00726BE8" w:rsidP="00C256BB">
            <w:pPr>
              <w:pStyle w:val="Text"/>
              <w:spacing w:before="100" w:after="100"/>
              <w:rPr>
                <w:rFonts w:cs="Arial"/>
                <w:sz w:val="16"/>
                <w:szCs w:val="16"/>
              </w:rPr>
            </w:pPr>
            <w:r w:rsidRPr="00534ECE">
              <w:rPr>
                <w:rFonts w:cs="Arial"/>
                <w:sz w:val="16"/>
                <w:szCs w:val="16"/>
              </w:rPr>
              <w:t xml:space="preserve">FPMS – section </w:t>
            </w:r>
            <w:r>
              <w:rPr>
                <w:rFonts w:cs="Arial"/>
                <w:sz w:val="16"/>
                <w:szCs w:val="16"/>
              </w:rPr>
              <w:t>46</w:t>
            </w:r>
          </w:p>
          <w:p w14:paraId="57F8142E" w14:textId="77777777" w:rsidR="00726BE8" w:rsidRPr="00534ECE" w:rsidRDefault="00726BE8" w:rsidP="00C256BB">
            <w:pPr>
              <w:pStyle w:val="Text"/>
              <w:spacing w:before="100" w:after="100"/>
              <w:rPr>
                <w:rFonts w:cs="Arial"/>
                <w:sz w:val="16"/>
                <w:szCs w:val="16"/>
              </w:rPr>
            </w:pPr>
            <w:r w:rsidRPr="00534ECE">
              <w:rPr>
                <w:rFonts w:cs="Arial"/>
                <w:sz w:val="16"/>
                <w:szCs w:val="16"/>
              </w:rPr>
              <w:t>ARRs – section 17.2</w:t>
            </w:r>
          </w:p>
        </w:tc>
        <w:tc>
          <w:tcPr>
            <w:tcW w:w="1591" w:type="dxa"/>
            <w:tcBorders>
              <w:top w:val="single" w:sz="4" w:space="0" w:color="auto"/>
              <w:left w:val="single" w:sz="4" w:space="0" w:color="auto"/>
              <w:bottom w:val="single" w:sz="4" w:space="0" w:color="auto"/>
            </w:tcBorders>
            <w:shd w:val="clear" w:color="auto" w:fill="auto"/>
          </w:tcPr>
          <w:p w14:paraId="632B1C79" w14:textId="6B623463" w:rsidR="00726BE8" w:rsidRPr="00534ECE" w:rsidRDefault="00974BA2" w:rsidP="00C256BB">
            <w:pPr>
              <w:pStyle w:val="Text"/>
              <w:spacing w:before="100" w:after="100"/>
              <w:jc w:val="center"/>
              <w:rPr>
                <w:rFonts w:cs="Arial"/>
                <w:sz w:val="16"/>
                <w:szCs w:val="16"/>
              </w:rPr>
            </w:pPr>
            <w:r>
              <w:rPr>
                <w:rFonts w:cs="Arial"/>
                <w:sz w:val="16"/>
                <w:szCs w:val="16"/>
              </w:rPr>
              <w:t>5</w:t>
            </w:r>
            <w:r w:rsidR="00957026">
              <w:rPr>
                <w:rFonts w:cs="Arial"/>
                <w:sz w:val="16"/>
                <w:szCs w:val="16"/>
              </w:rPr>
              <w:t>4–56</w:t>
            </w:r>
          </w:p>
        </w:tc>
      </w:tr>
    </w:tbl>
    <w:p w14:paraId="66684AAB" w14:textId="18362976" w:rsidR="00653762" w:rsidRDefault="00653762" w:rsidP="00653762">
      <w:pPr>
        <w:autoSpaceDE w:val="0"/>
        <w:autoSpaceDN w:val="0"/>
        <w:adjustRightInd w:val="0"/>
        <w:spacing w:before="4" w:after="0" w:line="160" w:lineRule="exact"/>
        <w:rPr>
          <w:rFonts w:ascii="Times New Roman" w:hAnsi="Times New Roman" w:cs="Times New Roman"/>
          <w:sz w:val="16"/>
          <w:szCs w:val="16"/>
        </w:rPr>
      </w:pPr>
    </w:p>
    <w:p w14:paraId="70E16071" w14:textId="77777777" w:rsidR="00726BE8" w:rsidRDefault="00726BE8" w:rsidP="00653762">
      <w:pPr>
        <w:autoSpaceDE w:val="0"/>
        <w:autoSpaceDN w:val="0"/>
        <w:adjustRightInd w:val="0"/>
        <w:spacing w:before="4" w:after="0" w:line="160" w:lineRule="exact"/>
        <w:rPr>
          <w:rFonts w:ascii="Times New Roman" w:hAnsi="Times New Roman" w:cs="Times New Roman"/>
          <w:sz w:val="16"/>
          <w:szCs w:val="16"/>
        </w:rPr>
      </w:pPr>
    </w:p>
    <w:p w14:paraId="0008FE83" w14:textId="77777777" w:rsidR="00F948D6" w:rsidRDefault="00F948D6" w:rsidP="00F948D6">
      <w:pPr>
        <w:autoSpaceDE w:val="0"/>
        <w:autoSpaceDN w:val="0"/>
        <w:adjustRightInd w:val="0"/>
        <w:spacing w:before="40" w:after="0" w:line="240" w:lineRule="auto"/>
        <w:ind w:left="23" w:right="-20"/>
        <w:rPr>
          <w:rFonts w:ascii="Arial" w:hAnsi="Arial" w:cs="Arial"/>
          <w:color w:val="000000"/>
          <w:sz w:val="16"/>
          <w:szCs w:val="16"/>
        </w:rPr>
      </w:pPr>
      <w:r>
        <w:rPr>
          <w:rFonts w:ascii="Arial" w:hAnsi="Arial" w:cs="Arial"/>
          <w:color w:val="000000"/>
          <w:sz w:val="16"/>
          <w:szCs w:val="16"/>
        </w:rPr>
        <w:t>F</w:t>
      </w:r>
      <w:r>
        <w:rPr>
          <w:rFonts w:ascii="Arial" w:hAnsi="Arial" w:cs="Arial"/>
          <w:color w:val="000000"/>
          <w:spacing w:val="1"/>
          <w:sz w:val="16"/>
          <w:szCs w:val="16"/>
        </w:rPr>
        <w:t>A</w:t>
      </w:r>
      <w:r>
        <w:rPr>
          <w:rFonts w:ascii="Arial" w:hAnsi="Arial" w:cs="Arial"/>
          <w:color w:val="000000"/>
          <w:sz w:val="16"/>
          <w:szCs w:val="16"/>
        </w:rPr>
        <w:t xml:space="preserve">A        </w:t>
      </w:r>
      <w:r>
        <w:rPr>
          <w:rFonts w:ascii="Arial" w:hAnsi="Arial" w:cs="Arial"/>
          <w:color w:val="000000"/>
          <w:spacing w:val="6"/>
          <w:sz w:val="16"/>
          <w:szCs w:val="16"/>
        </w:rPr>
        <w:t xml:space="preserve"> </w:t>
      </w:r>
      <w:r>
        <w:rPr>
          <w:rFonts w:ascii="Arial" w:hAnsi="Arial" w:cs="Arial"/>
          <w:i/>
          <w:iCs/>
          <w:color w:val="000000"/>
          <w:sz w:val="16"/>
          <w:szCs w:val="16"/>
        </w:rPr>
        <w:t>Fi</w:t>
      </w:r>
      <w:r>
        <w:rPr>
          <w:rFonts w:ascii="Arial" w:hAnsi="Arial" w:cs="Arial"/>
          <w:i/>
          <w:iCs/>
          <w:color w:val="000000"/>
          <w:spacing w:val="-1"/>
          <w:sz w:val="16"/>
          <w:szCs w:val="16"/>
        </w:rPr>
        <w:t>nan</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 xml:space="preserve"> </w:t>
      </w:r>
      <w:r>
        <w:rPr>
          <w:rFonts w:ascii="Arial" w:hAnsi="Arial" w:cs="Arial"/>
          <w:i/>
          <w:iCs/>
          <w:color w:val="000000"/>
          <w:spacing w:val="-2"/>
          <w:sz w:val="16"/>
          <w:szCs w:val="16"/>
        </w:rPr>
        <w:t>A</w:t>
      </w:r>
      <w:r>
        <w:rPr>
          <w:rFonts w:ascii="Arial" w:hAnsi="Arial" w:cs="Arial"/>
          <w:i/>
          <w:iCs/>
          <w:color w:val="000000"/>
          <w:spacing w:val="-1"/>
          <w:sz w:val="16"/>
          <w:szCs w:val="16"/>
        </w:rPr>
        <w:t>c</w:t>
      </w:r>
      <w:r>
        <w:rPr>
          <w:rFonts w:ascii="Arial" w:hAnsi="Arial" w:cs="Arial"/>
          <w:i/>
          <w:iCs/>
          <w:color w:val="000000"/>
          <w:spacing w:val="1"/>
          <w:sz w:val="16"/>
          <w:szCs w:val="16"/>
        </w:rPr>
        <w:t>c</w:t>
      </w:r>
      <w:r>
        <w:rPr>
          <w:rFonts w:ascii="Arial" w:hAnsi="Arial" w:cs="Arial"/>
          <w:i/>
          <w:iCs/>
          <w:color w:val="000000"/>
          <w:spacing w:val="-1"/>
          <w:sz w:val="16"/>
          <w:szCs w:val="16"/>
        </w:rPr>
        <w:t>oun</w:t>
      </w:r>
      <w:r>
        <w:rPr>
          <w:rFonts w:ascii="Arial" w:hAnsi="Arial" w:cs="Arial"/>
          <w:i/>
          <w:iCs/>
          <w:color w:val="000000"/>
          <w:spacing w:val="1"/>
          <w:sz w:val="16"/>
          <w:szCs w:val="16"/>
        </w:rPr>
        <w:t>t</w:t>
      </w:r>
      <w:r>
        <w:rPr>
          <w:rFonts w:ascii="Arial" w:hAnsi="Arial" w:cs="Arial"/>
          <w:i/>
          <w:iCs/>
          <w:color w:val="000000"/>
          <w:spacing w:val="-1"/>
          <w:sz w:val="16"/>
          <w:szCs w:val="16"/>
        </w:rPr>
        <w:t>ab</w:t>
      </w:r>
      <w:r>
        <w:rPr>
          <w:rFonts w:ascii="Arial" w:hAnsi="Arial" w:cs="Arial"/>
          <w:i/>
          <w:iCs/>
          <w:color w:val="000000"/>
          <w:sz w:val="16"/>
          <w:szCs w:val="16"/>
        </w:rPr>
        <w:t>il</w:t>
      </w:r>
      <w:r>
        <w:rPr>
          <w:rFonts w:ascii="Arial" w:hAnsi="Arial" w:cs="Arial"/>
          <w:i/>
          <w:iCs/>
          <w:color w:val="000000"/>
          <w:spacing w:val="-2"/>
          <w:sz w:val="16"/>
          <w:szCs w:val="16"/>
        </w:rPr>
        <w:t>i</w:t>
      </w:r>
      <w:r>
        <w:rPr>
          <w:rFonts w:ascii="Arial" w:hAnsi="Arial" w:cs="Arial"/>
          <w:i/>
          <w:iCs/>
          <w:color w:val="000000"/>
          <w:spacing w:val="1"/>
          <w:sz w:val="16"/>
          <w:szCs w:val="16"/>
        </w:rPr>
        <w:t>t</w:t>
      </w:r>
      <w:r>
        <w:rPr>
          <w:rFonts w:ascii="Arial" w:hAnsi="Arial" w:cs="Arial"/>
          <w:i/>
          <w:iCs/>
          <w:color w:val="000000"/>
          <w:sz w:val="16"/>
          <w:szCs w:val="16"/>
        </w:rPr>
        <w:t xml:space="preserve">y </w:t>
      </w:r>
      <w:r>
        <w:rPr>
          <w:rFonts w:ascii="Arial" w:hAnsi="Arial" w:cs="Arial"/>
          <w:i/>
          <w:iCs/>
          <w:color w:val="000000"/>
          <w:spacing w:val="-2"/>
          <w:sz w:val="16"/>
          <w:szCs w:val="16"/>
        </w:rPr>
        <w:t>A</w:t>
      </w:r>
      <w:r>
        <w:rPr>
          <w:rFonts w:ascii="Arial" w:hAnsi="Arial" w:cs="Arial"/>
          <w:i/>
          <w:iCs/>
          <w:color w:val="000000"/>
          <w:spacing w:val="1"/>
          <w:sz w:val="16"/>
          <w:szCs w:val="16"/>
        </w:rPr>
        <w:t>c</w:t>
      </w:r>
      <w:r>
        <w:rPr>
          <w:rFonts w:ascii="Arial" w:hAnsi="Arial" w:cs="Arial"/>
          <w:i/>
          <w:iCs/>
          <w:color w:val="000000"/>
          <w:sz w:val="16"/>
          <w:szCs w:val="16"/>
        </w:rPr>
        <w:t xml:space="preserve">t </w:t>
      </w:r>
      <w:r>
        <w:rPr>
          <w:rFonts w:ascii="Arial" w:hAnsi="Arial" w:cs="Arial"/>
          <w:i/>
          <w:iCs/>
          <w:color w:val="000000"/>
          <w:spacing w:val="-1"/>
          <w:sz w:val="16"/>
          <w:szCs w:val="16"/>
        </w:rPr>
        <w:t>2009</w:t>
      </w:r>
    </w:p>
    <w:p w14:paraId="741897B1" w14:textId="77777777" w:rsidR="00F948D6" w:rsidRDefault="00F948D6" w:rsidP="00F948D6">
      <w:pPr>
        <w:autoSpaceDE w:val="0"/>
        <w:autoSpaceDN w:val="0"/>
        <w:adjustRightInd w:val="0"/>
        <w:spacing w:before="1" w:after="0" w:line="120" w:lineRule="exact"/>
        <w:rPr>
          <w:rFonts w:ascii="Arial" w:hAnsi="Arial" w:cs="Arial"/>
          <w:color w:val="000000"/>
          <w:sz w:val="12"/>
          <w:szCs w:val="12"/>
        </w:rPr>
      </w:pPr>
    </w:p>
    <w:p w14:paraId="6E8052AB" w14:textId="77777777" w:rsidR="00F948D6" w:rsidRDefault="00F948D6" w:rsidP="00F948D6">
      <w:pPr>
        <w:autoSpaceDE w:val="0"/>
        <w:autoSpaceDN w:val="0"/>
        <w:adjustRightInd w:val="0"/>
        <w:spacing w:before="0" w:after="0" w:line="240" w:lineRule="auto"/>
        <w:ind w:left="23" w:right="-20"/>
        <w:rPr>
          <w:rFonts w:ascii="Arial" w:hAnsi="Arial" w:cs="Arial"/>
          <w:color w:val="000000"/>
          <w:sz w:val="16"/>
          <w:szCs w:val="16"/>
        </w:rPr>
      </w:pPr>
      <w:r>
        <w:rPr>
          <w:rFonts w:ascii="Arial" w:hAnsi="Arial" w:cs="Arial"/>
          <w:color w:val="000000"/>
          <w:sz w:val="16"/>
          <w:szCs w:val="16"/>
        </w:rPr>
        <w:t>F</w:t>
      </w:r>
      <w:r>
        <w:rPr>
          <w:rFonts w:ascii="Arial" w:hAnsi="Arial" w:cs="Arial"/>
          <w:color w:val="000000"/>
          <w:spacing w:val="1"/>
          <w:sz w:val="16"/>
          <w:szCs w:val="16"/>
        </w:rPr>
        <w:t>P</w:t>
      </w:r>
      <w:r>
        <w:rPr>
          <w:rFonts w:ascii="Arial" w:hAnsi="Arial" w:cs="Arial"/>
          <w:color w:val="000000"/>
          <w:spacing w:val="-2"/>
          <w:sz w:val="16"/>
          <w:szCs w:val="16"/>
        </w:rPr>
        <w:t>M</w:t>
      </w:r>
      <w:r>
        <w:rPr>
          <w:rFonts w:ascii="Arial" w:hAnsi="Arial" w:cs="Arial"/>
          <w:color w:val="000000"/>
          <w:sz w:val="16"/>
          <w:szCs w:val="16"/>
        </w:rPr>
        <w:t xml:space="preserve">S     </w:t>
      </w:r>
      <w:r>
        <w:rPr>
          <w:rFonts w:ascii="Arial" w:hAnsi="Arial" w:cs="Arial"/>
          <w:color w:val="000000"/>
          <w:spacing w:val="7"/>
          <w:sz w:val="16"/>
          <w:szCs w:val="16"/>
        </w:rPr>
        <w:t xml:space="preserve"> </w:t>
      </w:r>
      <w:r>
        <w:rPr>
          <w:rFonts w:ascii="Arial" w:hAnsi="Arial" w:cs="Arial"/>
          <w:i/>
          <w:iCs/>
          <w:color w:val="000000"/>
          <w:sz w:val="16"/>
          <w:szCs w:val="16"/>
        </w:rPr>
        <w:t>Fi</w:t>
      </w:r>
      <w:r>
        <w:rPr>
          <w:rFonts w:ascii="Arial" w:hAnsi="Arial" w:cs="Arial"/>
          <w:i/>
          <w:iCs/>
          <w:color w:val="000000"/>
          <w:spacing w:val="-1"/>
          <w:sz w:val="16"/>
          <w:szCs w:val="16"/>
        </w:rPr>
        <w:t>nan</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1"/>
          <w:sz w:val="16"/>
          <w:szCs w:val="16"/>
        </w:rPr>
        <w:t>a</w:t>
      </w:r>
      <w:r>
        <w:rPr>
          <w:rFonts w:ascii="Arial" w:hAnsi="Arial" w:cs="Arial"/>
          <w:i/>
          <w:iCs/>
          <w:color w:val="000000"/>
          <w:sz w:val="16"/>
          <w:szCs w:val="16"/>
        </w:rPr>
        <w:t>l</w:t>
      </w:r>
      <w:r>
        <w:rPr>
          <w:rFonts w:ascii="Arial" w:hAnsi="Arial" w:cs="Arial"/>
          <w:i/>
          <w:iCs/>
          <w:color w:val="000000"/>
          <w:spacing w:val="-1"/>
          <w:sz w:val="16"/>
          <w:szCs w:val="16"/>
        </w:rPr>
        <w:t xml:space="preserve"> an</w:t>
      </w:r>
      <w:r>
        <w:rPr>
          <w:rFonts w:ascii="Arial" w:hAnsi="Arial" w:cs="Arial"/>
          <w:i/>
          <w:iCs/>
          <w:color w:val="000000"/>
          <w:sz w:val="16"/>
          <w:szCs w:val="16"/>
        </w:rPr>
        <w:t xml:space="preserve">d </w:t>
      </w:r>
      <w:r>
        <w:rPr>
          <w:rFonts w:ascii="Arial" w:hAnsi="Arial" w:cs="Arial"/>
          <w:i/>
          <w:iCs/>
          <w:color w:val="000000"/>
          <w:spacing w:val="1"/>
          <w:sz w:val="16"/>
          <w:szCs w:val="16"/>
        </w:rPr>
        <w:t>P</w:t>
      </w:r>
      <w:r>
        <w:rPr>
          <w:rFonts w:ascii="Arial" w:hAnsi="Arial" w:cs="Arial"/>
          <w:i/>
          <w:iCs/>
          <w:color w:val="000000"/>
          <w:spacing w:val="-1"/>
          <w:sz w:val="16"/>
          <w:szCs w:val="16"/>
        </w:rPr>
        <w:t>e</w:t>
      </w:r>
      <w:r>
        <w:rPr>
          <w:rFonts w:ascii="Arial" w:hAnsi="Arial" w:cs="Arial"/>
          <w:i/>
          <w:iCs/>
          <w:color w:val="000000"/>
          <w:spacing w:val="-3"/>
          <w:sz w:val="16"/>
          <w:szCs w:val="16"/>
        </w:rPr>
        <w:t>r</w:t>
      </w:r>
      <w:r>
        <w:rPr>
          <w:rFonts w:ascii="Arial" w:hAnsi="Arial" w:cs="Arial"/>
          <w:i/>
          <w:iCs/>
          <w:color w:val="000000"/>
          <w:spacing w:val="1"/>
          <w:sz w:val="16"/>
          <w:szCs w:val="16"/>
        </w:rPr>
        <w:t>f</w:t>
      </w:r>
      <w:r>
        <w:rPr>
          <w:rFonts w:ascii="Arial" w:hAnsi="Arial" w:cs="Arial"/>
          <w:i/>
          <w:iCs/>
          <w:color w:val="000000"/>
          <w:spacing w:val="-1"/>
          <w:sz w:val="16"/>
          <w:szCs w:val="16"/>
        </w:rPr>
        <w:t>or</w:t>
      </w:r>
      <w:r>
        <w:rPr>
          <w:rFonts w:ascii="Arial" w:hAnsi="Arial" w:cs="Arial"/>
          <w:i/>
          <w:iCs/>
          <w:color w:val="000000"/>
          <w:spacing w:val="-2"/>
          <w:sz w:val="16"/>
          <w:szCs w:val="16"/>
        </w:rPr>
        <w:t>m</w:t>
      </w:r>
      <w:r>
        <w:rPr>
          <w:rFonts w:ascii="Arial" w:hAnsi="Arial" w:cs="Arial"/>
          <w:i/>
          <w:iCs/>
          <w:color w:val="000000"/>
          <w:spacing w:val="-1"/>
          <w:sz w:val="16"/>
          <w:szCs w:val="16"/>
        </w:rPr>
        <w:t>an</w:t>
      </w:r>
      <w:r>
        <w:rPr>
          <w:rFonts w:ascii="Arial" w:hAnsi="Arial" w:cs="Arial"/>
          <w:i/>
          <w:iCs/>
          <w:color w:val="000000"/>
          <w:spacing w:val="1"/>
          <w:sz w:val="16"/>
          <w:szCs w:val="16"/>
        </w:rPr>
        <w:t>c</w:t>
      </w:r>
      <w:r>
        <w:rPr>
          <w:rFonts w:ascii="Arial" w:hAnsi="Arial" w:cs="Arial"/>
          <w:i/>
          <w:iCs/>
          <w:color w:val="000000"/>
          <w:sz w:val="16"/>
          <w:szCs w:val="16"/>
        </w:rPr>
        <w:t>e</w:t>
      </w:r>
      <w:r>
        <w:rPr>
          <w:rFonts w:ascii="Arial" w:hAnsi="Arial" w:cs="Arial"/>
          <w:i/>
          <w:iCs/>
          <w:color w:val="000000"/>
          <w:spacing w:val="1"/>
          <w:sz w:val="16"/>
          <w:szCs w:val="16"/>
        </w:rPr>
        <w:t xml:space="preserve"> </w:t>
      </w:r>
      <w:r>
        <w:rPr>
          <w:rFonts w:ascii="Arial" w:hAnsi="Arial" w:cs="Arial"/>
          <w:i/>
          <w:iCs/>
          <w:color w:val="000000"/>
          <w:sz w:val="16"/>
          <w:szCs w:val="16"/>
        </w:rPr>
        <w:t>M</w:t>
      </w:r>
      <w:r>
        <w:rPr>
          <w:rFonts w:ascii="Arial" w:hAnsi="Arial" w:cs="Arial"/>
          <w:i/>
          <w:iCs/>
          <w:color w:val="000000"/>
          <w:spacing w:val="-1"/>
          <w:sz w:val="16"/>
          <w:szCs w:val="16"/>
        </w:rPr>
        <w:t>ana</w:t>
      </w:r>
      <w:r>
        <w:rPr>
          <w:rFonts w:ascii="Arial" w:hAnsi="Arial" w:cs="Arial"/>
          <w:i/>
          <w:iCs/>
          <w:color w:val="000000"/>
          <w:spacing w:val="-3"/>
          <w:sz w:val="16"/>
          <w:szCs w:val="16"/>
        </w:rPr>
        <w:t>g</w:t>
      </w:r>
      <w:r>
        <w:rPr>
          <w:rFonts w:ascii="Arial" w:hAnsi="Arial" w:cs="Arial"/>
          <w:i/>
          <w:iCs/>
          <w:color w:val="000000"/>
          <w:spacing w:val="-1"/>
          <w:sz w:val="16"/>
          <w:szCs w:val="16"/>
        </w:rPr>
        <w:t>e</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z w:val="16"/>
          <w:szCs w:val="16"/>
        </w:rPr>
        <w:t>t</w:t>
      </w:r>
      <w:r>
        <w:rPr>
          <w:rFonts w:ascii="Arial" w:hAnsi="Arial" w:cs="Arial"/>
          <w:i/>
          <w:iCs/>
          <w:color w:val="000000"/>
          <w:spacing w:val="2"/>
          <w:sz w:val="16"/>
          <w:szCs w:val="16"/>
        </w:rPr>
        <w:t xml:space="preserve"> </w:t>
      </w:r>
      <w:r>
        <w:rPr>
          <w:rFonts w:ascii="Arial" w:hAnsi="Arial" w:cs="Arial"/>
          <w:i/>
          <w:iCs/>
          <w:color w:val="000000"/>
          <w:spacing w:val="1"/>
          <w:sz w:val="16"/>
          <w:szCs w:val="16"/>
        </w:rPr>
        <w:t>St</w:t>
      </w:r>
      <w:r>
        <w:rPr>
          <w:rFonts w:ascii="Arial" w:hAnsi="Arial" w:cs="Arial"/>
          <w:i/>
          <w:iCs/>
          <w:color w:val="000000"/>
          <w:spacing w:val="-1"/>
          <w:sz w:val="16"/>
          <w:szCs w:val="16"/>
        </w:rPr>
        <w:t>andar</w:t>
      </w:r>
      <w:r>
        <w:rPr>
          <w:rFonts w:ascii="Arial" w:hAnsi="Arial" w:cs="Arial"/>
          <w:i/>
          <w:iCs/>
          <w:color w:val="000000"/>
          <w:sz w:val="16"/>
          <w:szCs w:val="16"/>
        </w:rPr>
        <w:t>d</w:t>
      </w:r>
      <w:r>
        <w:rPr>
          <w:rFonts w:ascii="Arial" w:hAnsi="Arial" w:cs="Arial"/>
          <w:i/>
          <w:iCs/>
          <w:color w:val="000000"/>
          <w:spacing w:val="1"/>
          <w:sz w:val="16"/>
          <w:szCs w:val="16"/>
        </w:rPr>
        <w:t xml:space="preserve"> </w:t>
      </w:r>
      <w:r>
        <w:rPr>
          <w:rFonts w:ascii="Arial" w:hAnsi="Arial" w:cs="Arial"/>
          <w:i/>
          <w:iCs/>
          <w:color w:val="000000"/>
          <w:spacing w:val="-1"/>
          <w:sz w:val="16"/>
          <w:szCs w:val="16"/>
        </w:rPr>
        <w:t>2019</w:t>
      </w:r>
    </w:p>
    <w:p w14:paraId="4BF04ADA" w14:textId="77777777" w:rsidR="00F948D6" w:rsidRDefault="00F948D6" w:rsidP="00F948D6">
      <w:pPr>
        <w:autoSpaceDE w:val="0"/>
        <w:autoSpaceDN w:val="0"/>
        <w:adjustRightInd w:val="0"/>
        <w:spacing w:before="8" w:after="0" w:line="110" w:lineRule="exact"/>
        <w:rPr>
          <w:rFonts w:ascii="Arial" w:hAnsi="Arial" w:cs="Arial"/>
          <w:color w:val="000000"/>
          <w:sz w:val="11"/>
          <w:szCs w:val="11"/>
        </w:rPr>
      </w:pPr>
    </w:p>
    <w:p w14:paraId="5C747A37" w14:textId="77777777" w:rsidR="00F948D6" w:rsidRDefault="00F948D6" w:rsidP="00F948D6">
      <w:pPr>
        <w:autoSpaceDE w:val="0"/>
        <w:autoSpaceDN w:val="0"/>
        <w:adjustRightInd w:val="0"/>
        <w:spacing w:before="0" w:after="0" w:line="240" w:lineRule="auto"/>
        <w:ind w:left="23" w:right="-20"/>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RR</w:t>
      </w:r>
      <w:r>
        <w:rPr>
          <w:rFonts w:ascii="Arial" w:hAnsi="Arial" w:cs="Arial"/>
          <w:color w:val="000000"/>
          <w:sz w:val="16"/>
          <w:szCs w:val="16"/>
        </w:rPr>
        <w:t xml:space="preserve">s     </w:t>
      </w:r>
      <w:r>
        <w:rPr>
          <w:rFonts w:ascii="Arial" w:hAnsi="Arial" w:cs="Arial"/>
          <w:color w:val="000000"/>
          <w:spacing w:val="34"/>
          <w:sz w:val="16"/>
          <w:szCs w:val="16"/>
        </w:rPr>
        <w:t xml:space="preserve"> </w:t>
      </w:r>
      <w:r>
        <w:rPr>
          <w:rFonts w:ascii="Arial" w:hAnsi="Arial" w:cs="Arial"/>
          <w:i/>
          <w:iCs/>
          <w:color w:val="000000"/>
          <w:spacing w:val="1"/>
          <w:sz w:val="16"/>
          <w:szCs w:val="16"/>
        </w:rPr>
        <w:t>A</w:t>
      </w:r>
      <w:r>
        <w:rPr>
          <w:rFonts w:ascii="Arial" w:hAnsi="Arial" w:cs="Arial"/>
          <w:i/>
          <w:iCs/>
          <w:color w:val="000000"/>
          <w:spacing w:val="-1"/>
          <w:sz w:val="16"/>
          <w:szCs w:val="16"/>
        </w:rPr>
        <w:t>nnua</w:t>
      </w:r>
      <w:r>
        <w:rPr>
          <w:rFonts w:ascii="Arial" w:hAnsi="Arial" w:cs="Arial"/>
          <w:i/>
          <w:iCs/>
          <w:color w:val="000000"/>
          <w:sz w:val="16"/>
          <w:szCs w:val="16"/>
        </w:rPr>
        <w:t>l</w:t>
      </w:r>
      <w:r>
        <w:rPr>
          <w:rFonts w:ascii="Arial" w:hAnsi="Arial" w:cs="Arial"/>
          <w:i/>
          <w:iCs/>
          <w:color w:val="000000"/>
          <w:spacing w:val="1"/>
          <w:sz w:val="16"/>
          <w:szCs w:val="16"/>
        </w:rPr>
        <w:t xml:space="preserve"> </w:t>
      </w:r>
      <w:r>
        <w:rPr>
          <w:rFonts w:ascii="Arial" w:hAnsi="Arial" w:cs="Arial"/>
          <w:i/>
          <w:iCs/>
          <w:color w:val="000000"/>
          <w:spacing w:val="-1"/>
          <w:sz w:val="16"/>
          <w:szCs w:val="16"/>
        </w:rPr>
        <w:t>repor</w:t>
      </w:r>
      <w:r>
        <w:rPr>
          <w:rFonts w:ascii="Arial" w:hAnsi="Arial" w:cs="Arial"/>
          <w:i/>
          <w:iCs/>
          <w:color w:val="000000"/>
          <w:sz w:val="16"/>
          <w:szCs w:val="16"/>
        </w:rPr>
        <w:t>t</w:t>
      </w:r>
      <w:r>
        <w:rPr>
          <w:rFonts w:ascii="Arial" w:hAnsi="Arial" w:cs="Arial"/>
          <w:i/>
          <w:iCs/>
          <w:color w:val="000000"/>
          <w:spacing w:val="2"/>
          <w:sz w:val="16"/>
          <w:szCs w:val="16"/>
        </w:rPr>
        <w:t xml:space="preserve"> </w:t>
      </w:r>
      <w:r>
        <w:rPr>
          <w:rFonts w:ascii="Arial" w:hAnsi="Arial" w:cs="Arial"/>
          <w:i/>
          <w:iCs/>
          <w:color w:val="000000"/>
          <w:spacing w:val="-1"/>
          <w:sz w:val="16"/>
          <w:szCs w:val="16"/>
        </w:rPr>
        <w:t>requ</w:t>
      </w:r>
      <w:r>
        <w:rPr>
          <w:rFonts w:ascii="Arial" w:hAnsi="Arial" w:cs="Arial"/>
          <w:i/>
          <w:iCs/>
          <w:color w:val="000000"/>
          <w:sz w:val="16"/>
          <w:szCs w:val="16"/>
        </w:rPr>
        <w:t>i</w:t>
      </w:r>
      <w:r>
        <w:rPr>
          <w:rFonts w:ascii="Arial" w:hAnsi="Arial" w:cs="Arial"/>
          <w:i/>
          <w:iCs/>
          <w:color w:val="000000"/>
          <w:spacing w:val="-1"/>
          <w:sz w:val="16"/>
          <w:szCs w:val="16"/>
        </w:rPr>
        <w:t>re</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pacing w:val="1"/>
          <w:sz w:val="16"/>
          <w:szCs w:val="16"/>
        </w:rPr>
        <w:t>t</w:t>
      </w:r>
      <w:r>
        <w:rPr>
          <w:rFonts w:ascii="Arial" w:hAnsi="Arial" w:cs="Arial"/>
          <w:i/>
          <w:iCs/>
          <w:color w:val="000000"/>
          <w:sz w:val="16"/>
          <w:szCs w:val="16"/>
        </w:rPr>
        <w:t xml:space="preserve">s </w:t>
      </w:r>
      <w:r>
        <w:rPr>
          <w:rFonts w:ascii="Arial" w:hAnsi="Arial" w:cs="Arial"/>
          <w:i/>
          <w:iCs/>
          <w:color w:val="000000"/>
          <w:spacing w:val="1"/>
          <w:sz w:val="16"/>
          <w:szCs w:val="16"/>
        </w:rPr>
        <w:t>f</w:t>
      </w:r>
      <w:r>
        <w:rPr>
          <w:rFonts w:ascii="Arial" w:hAnsi="Arial" w:cs="Arial"/>
          <w:i/>
          <w:iCs/>
          <w:color w:val="000000"/>
          <w:spacing w:val="-1"/>
          <w:sz w:val="16"/>
          <w:szCs w:val="16"/>
        </w:rPr>
        <w:t>o</w:t>
      </w:r>
      <w:r>
        <w:rPr>
          <w:rFonts w:ascii="Arial" w:hAnsi="Arial" w:cs="Arial"/>
          <w:i/>
          <w:iCs/>
          <w:color w:val="000000"/>
          <w:sz w:val="16"/>
          <w:szCs w:val="16"/>
        </w:rPr>
        <w:t>r Q</w:t>
      </w:r>
      <w:r>
        <w:rPr>
          <w:rFonts w:ascii="Arial" w:hAnsi="Arial" w:cs="Arial"/>
          <w:i/>
          <w:iCs/>
          <w:color w:val="000000"/>
          <w:spacing w:val="-3"/>
          <w:sz w:val="16"/>
          <w:szCs w:val="16"/>
        </w:rPr>
        <w:t>u</w:t>
      </w:r>
      <w:r>
        <w:rPr>
          <w:rFonts w:ascii="Arial" w:hAnsi="Arial" w:cs="Arial"/>
          <w:i/>
          <w:iCs/>
          <w:color w:val="000000"/>
          <w:spacing w:val="-1"/>
          <w:sz w:val="16"/>
          <w:szCs w:val="16"/>
        </w:rPr>
        <w:t>een</w:t>
      </w:r>
      <w:r>
        <w:rPr>
          <w:rFonts w:ascii="Arial" w:hAnsi="Arial" w:cs="Arial"/>
          <w:i/>
          <w:iCs/>
          <w:color w:val="000000"/>
          <w:spacing w:val="1"/>
          <w:sz w:val="16"/>
          <w:szCs w:val="16"/>
        </w:rPr>
        <w:t>s</w:t>
      </w:r>
      <w:r>
        <w:rPr>
          <w:rFonts w:ascii="Arial" w:hAnsi="Arial" w:cs="Arial"/>
          <w:i/>
          <w:iCs/>
          <w:color w:val="000000"/>
          <w:sz w:val="16"/>
          <w:szCs w:val="16"/>
        </w:rPr>
        <w:t>l</w:t>
      </w:r>
      <w:r>
        <w:rPr>
          <w:rFonts w:ascii="Arial" w:hAnsi="Arial" w:cs="Arial"/>
          <w:i/>
          <w:iCs/>
          <w:color w:val="000000"/>
          <w:spacing w:val="-1"/>
          <w:sz w:val="16"/>
          <w:szCs w:val="16"/>
        </w:rPr>
        <w:t>an</w:t>
      </w:r>
      <w:r>
        <w:rPr>
          <w:rFonts w:ascii="Arial" w:hAnsi="Arial" w:cs="Arial"/>
          <w:i/>
          <w:iCs/>
          <w:color w:val="000000"/>
          <w:sz w:val="16"/>
          <w:szCs w:val="16"/>
        </w:rPr>
        <w:t>d</w:t>
      </w:r>
      <w:r>
        <w:rPr>
          <w:rFonts w:ascii="Arial" w:hAnsi="Arial" w:cs="Arial"/>
          <w:i/>
          <w:iCs/>
          <w:color w:val="000000"/>
          <w:spacing w:val="1"/>
          <w:sz w:val="16"/>
          <w:szCs w:val="16"/>
        </w:rPr>
        <w:t xml:space="preserve"> </w:t>
      </w:r>
      <w:r>
        <w:rPr>
          <w:rFonts w:ascii="Arial" w:hAnsi="Arial" w:cs="Arial"/>
          <w:i/>
          <w:iCs/>
          <w:color w:val="000000"/>
          <w:sz w:val="16"/>
          <w:szCs w:val="16"/>
        </w:rPr>
        <w:t>G</w:t>
      </w:r>
      <w:r>
        <w:rPr>
          <w:rFonts w:ascii="Arial" w:hAnsi="Arial" w:cs="Arial"/>
          <w:i/>
          <w:iCs/>
          <w:color w:val="000000"/>
          <w:spacing w:val="-3"/>
          <w:sz w:val="16"/>
          <w:szCs w:val="16"/>
        </w:rPr>
        <w:t>o</w:t>
      </w:r>
      <w:r>
        <w:rPr>
          <w:rFonts w:ascii="Arial" w:hAnsi="Arial" w:cs="Arial"/>
          <w:i/>
          <w:iCs/>
          <w:color w:val="000000"/>
          <w:spacing w:val="1"/>
          <w:sz w:val="16"/>
          <w:szCs w:val="16"/>
        </w:rPr>
        <w:t>v</w:t>
      </w:r>
      <w:r>
        <w:rPr>
          <w:rFonts w:ascii="Arial" w:hAnsi="Arial" w:cs="Arial"/>
          <w:i/>
          <w:iCs/>
          <w:color w:val="000000"/>
          <w:spacing w:val="-1"/>
          <w:sz w:val="16"/>
          <w:szCs w:val="16"/>
        </w:rPr>
        <w:t>ern</w:t>
      </w:r>
      <w:r>
        <w:rPr>
          <w:rFonts w:ascii="Arial" w:hAnsi="Arial" w:cs="Arial"/>
          <w:i/>
          <w:iCs/>
          <w:color w:val="000000"/>
          <w:spacing w:val="-2"/>
          <w:sz w:val="16"/>
          <w:szCs w:val="16"/>
        </w:rPr>
        <w:t>m</w:t>
      </w:r>
      <w:r>
        <w:rPr>
          <w:rFonts w:ascii="Arial" w:hAnsi="Arial" w:cs="Arial"/>
          <w:i/>
          <w:iCs/>
          <w:color w:val="000000"/>
          <w:spacing w:val="-1"/>
          <w:sz w:val="16"/>
          <w:szCs w:val="16"/>
        </w:rPr>
        <w:t>en</w:t>
      </w:r>
      <w:r>
        <w:rPr>
          <w:rFonts w:ascii="Arial" w:hAnsi="Arial" w:cs="Arial"/>
          <w:i/>
          <w:iCs/>
          <w:color w:val="000000"/>
          <w:sz w:val="16"/>
          <w:szCs w:val="16"/>
        </w:rPr>
        <w:t>t</w:t>
      </w:r>
      <w:r>
        <w:rPr>
          <w:rFonts w:ascii="Arial" w:hAnsi="Arial" w:cs="Arial"/>
          <w:i/>
          <w:iCs/>
          <w:color w:val="000000"/>
          <w:spacing w:val="2"/>
          <w:sz w:val="16"/>
          <w:szCs w:val="16"/>
        </w:rPr>
        <w:t xml:space="preserve"> </w:t>
      </w:r>
      <w:r>
        <w:rPr>
          <w:rFonts w:ascii="Arial" w:hAnsi="Arial" w:cs="Arial"/>
          <w:i/>
          <w:iCs/>
          <w:color w:val="000000"/>
          <w:spacing w:val="-1"/>
          <w:sz w:val="16"/>
          <w:szCs w:val="16"/>
        </w:rPr>
        <w:t>agen</w:t>
      </w:r>
      <w:r>
        <w:rPr>
          <w:rFonts w:ascii="Arial" w:hAnsi="Arial" w:cs="Arial"/>
          <w:i/>
          <w:iCs/>
          <w:color w:val="000000"/>
          <w:spacing w:val="1"/>
          <w:sz w:val="16"/>
          <w:szCs w:val="16"/>
        </w:rPr>
        <w:t>c</w:t>
      </w:r>
      <w:r>
        <w:rPr>
          <w:rFonts w:ascii="Arial" w:hAnsi="Arial" w:cs="Arial"/>
          <w:i/>
          <w:iCs/>
          <w:color w:val="000000"/>
          <w:sz w:val="16"/>
          <w:szCs w:val="16"/>
        </w:rPr>
        <w:t>i</w:t>
      </w:r>
      <w:r>
        <w:rPr>
          <w:rFonts w:ascii="Arial" w:hAnsi="Arial" w:cs="Arial"/>
          <w:i/>
          <w:iCs/>
          <w:color w:val="000000"/>
          <w:spacing w:val="-3"/>
          <w:sz w:val="16"/>
          <w:szCs w:val="16"/>
        </w:rPr>
        <w:t>e</w:t>
      </w:r>
      <w:r>
        <w:rPr>
          <w:rFonts w:ascii="Arial" w:hAnsi="Arial" w:cs="Arial"/>
          <w:i/>
          <w:iCs/>
          <w:color w:val="000000"/>
          <w:sz w:val="16"/>
          <w:szCs w:val="16"/>
        </w:rPr>
        <w:t>s</w:t>
      </w:r>
    </w:p>
    <w:p w14:paraId="4A056A7F" w14:textId="6772CD4C" w:rsidR="00653762" w:rsidRDefault="00653762" w:rsidP="00653762">
      <w:pPr>
        <w:autoSpaceDE w:val="0"/>
        <w:autoSpaceDN w:val="0"/>
        <w:adjustRightInd w:val="0"/>
        <w:spacing w:before="28" w:after="0" w:line="240" w:lineRule="auto"/>
        <w:ind w:left="23" w:right="-20"/>
        <w:rPr>
          <w:rFonts w:ascii="Calibri" w:hAnsi="Calibri" w:cs="Calibri"/>
          <w:color w:val="000000"/>
          <w:sz w:val="16"/>
          <w:szCs w:val="16"/>
        </w:rPr>
      </w:pPr>
    </w:p>
    <w:p w14:paraId="05879A66" w14:textId="77777777" w:rsidR="00653762" w:rsidRDefault="00653762" w:rsidP="00653762">
      <w:pPr>
        <w:autoSpaceDE w:val="0"/>
        <w:autoSpaceDN w:val="0"/>
        <w:adjustRightInd w:val="0"/>
        <w:spacing w:before="28" w:after="0" w:line="240" w:lineRule="auto"/>
        <w:ind w:left="23" w:right="-20"/>
        <w:rPr>
          <w:rFonts w:ascii="Calibri" w:hAnsi="Calibri" w:cs="Calibri"/>
          <w:color w:val="000000"/>
          <w:sz w:val="16"/>
          <w:szCs w:val="16"/>
        </w:rPr>
      </w:pPr>
    </w:p>
    <w:p w14:paraId="04DD8991" w14:textId="77777777" w:rsidR="00F948D6" w:rsidRDefault="00F948D6" w:rsidP="00653762">
      <w:pPr>
        <w:autoSpaceDE w:val="0"/>
        <w:autoSpaceDN w:val="0"/>
        <w:adjustRightInd w:val="0"/>
        <w:spacing w:before="28" w:after="0" w:line="240" w:lineRule="auto"/>
        <w:ind w:left="23" w:right="-20"/>
        <w:rPr>
          <w:rFonts w:ascii="Calibri" w:hAnsi="Calibri" w:cs="Calibri"/>
          <w:color w:val="000000"/>
          <w:sz w:val="16"/>
          <w:szCs w:val="16"/>
        </w:rPr>
      </w:pPr>
    </w:p>
    <w:p w14:paraId="18B6DC87" w14:textId="77777777" w:rsidR="00F948D6" w:rsidRDefault="00F948D6" w:rsidP="00653762">
      <w:pPr>
        <w:autoSpaceDE w:val="0"/>
        <w:autoSpaceDN w:val="0"/>
        <w:adjustRightInd w:val="0"/>
        <w:spacing w:before="28" w:after="0" w:line="240" w:lineRule="auto"/>
        <w:ind w:left="23" w:right="-20"/>
        <w:rPr>
          <w:rFonts w:ascii="Calibri" w:hAnsi="Calibri" w:cs="Calibri"/>
          <w:color w:val="000000"/>
          <w:sz w:val="16"/>
          <w:szCs w:val="16"/>
        </w:rPr>
      </w:pPr>
    </w:p>
    <w:p w14:paraId="4CD364F3" w14:textId="4657286E" w:rsidR="00F948D6" w:rsidRDefault="00F948D6" w:rsidP="00653762">
      <w:pPr>
        <w:autoSpaceDE w:val="0"/>
        <w:autoSpaceDN w:val="0"/>
        <w:adjustRightInd w:val="0"/>
        <w:spacing w:before="28" w:after="0" w:line="240" w:lineRule="auto"/>
        <w:ind w:left="23" w:right="-20"/>
        <w:rPr>
          <w:rFonts w:ascii="Calibri" w:hAnsi="Calibri" w:cs="Calibri"/>
          <w:color w:val="000000"/>
          <w:sz w:val="16"/>
          <w:szCs w:val="16"/>
        </w:rPr>
        <w:sectPr w:rsidR="00F948D6" w:rsidSect="004058E9">
          <w:pgSz w:w="11920" w:h="16840"/>
          <w:pgMar w:top="0" w:right="1140" w:bottom="0" w:left="1020" w:header="720" w:footer="720" w:gutter="0"/>
          <w:cols w:space="720"/>
          <w:noEndnote/>
        </w:sectPr>
      </w:pPr>
    </w:p>
    <w:p w14:paraId="18CC9ED7" w14:textId="3004CA81" w:rsidR="00856422" w:rsidRDefault="00A47539" w:rsidP="00C13790">
      <w:pPr>
        <w:pStyle w:val="Heading2"/>
      </w:pPr>
      <w:bookmarkStart w:id="255" w:name="_Toc487614533"/>
      <w:bookmarkStart w:id="256" w:name="_Toc520282175"/>
      <w:bookmarkStart w:id="257" w:name="_Toc80792978"/>
      <w:r>
        <w:lastRenderedPageBreak/>
        <w:t xml:space="preserve">Annual </w:t>
      </w:r>
      <w:r w:rsidR="009C5D62" w:rsidRPr="009C5D62">
        <w:t>report access</w:t>
      </w:r>
      <w:bookmarkEnd w:id="255"/>
      <w:bookmarkEnd w:id="256"/>
      <w:bookmarkEnd w:id="257"/>
    </w:p>
    <w:p w14:paraId="7CF64BE2" w14:textId="77777777" w:rsidR="00290C12" w:rsidRDefault="009C5D62">
      <w:pPr>
        <w:pStyle w:val="Heading4"/>
      </w:pPr>
      <w:r w:rsidRPr="009C5D62">
        <w:t>Additional copies</w:t>
      </w:r>
    </w:p>
    <w:p w14:paraId="0FCA1CA2" w14:textId="72172088" w:rsidR="003F44C4" w:rsidRPr="004416CF" w:rsidRDefault="0071092B" w:rsidP="003F44C4">
      <w:pPr>
        <w:rPr>
          <w:color w:val="3B3838" w:themeColor="background2" w:themeShade="40"/>
        </w:rPr>
      </w:pPr>
      <w:r w:rsidRPr="004416CF">
        <w:rPr>
          <w:color w:val="3B3838" w:themeColor="background2" w:themeShade="40"/>
        </w:rPr>
        <w:t>A copy of this</w:t>
      </w:r>
      <w:r w:rsidR="003F44C4" w:rsidRPr="004416CF">
        <w:rPr>
          <w:color w:val="3B3838" w:themeColor="background2" w:themeShade="40"/>
        </w:rPr>
        <w:t xml:space="preserve"> </w:t>
      </w:r>
      <w:r w:rsidRPr="004416CF">
        <w:rPr>
          <w:color w:val="3B3838" w:themeColor="background2" w:themeShade="40"/>
        </w:rPr>
        <w:t>r</w:t>
      </w:r>
      <w:r w:rsidR="003F44C4" w:rsidRPr="004416CF">
        <w:rPr>
          <w:color w:val="3B3838" w:themeColor="background2" w:themeShade="40"/>
        </w:rPr>
        <w:t xml:space="preserve">eport can be obtained by contacting </w:t>
      </w:r>
      <w:r w:rsidR="00C61607">
        <w:t>us</w:t>
      </w:r>
      <w:r w:rsidR="00601A27">
        <w:rPr>
          <w:color w:val="3B3838" w:themeColor="background2" w:themeShade="40"/>
        </w:rPr>
        <w:t>.</w:t>
      </w:r>
    </w:p>
    <w:p w14:paraId="57B92C52" w14:textId="4EEE0751" w:rsidR="003F44C4" w:rsidRPr="00731D6C" w:rsidRDefault="00B77410" w:rsidP="003F44C4">
      <w:r>
        <w:rPr>
          <w:color w:val="3B3838" w:themeColor="background2" w:themeShade="40"/>
        </w:rPr>
        <w:t>e</w:t>
      </w:r>
      <w:r w:rsidR="003F44C4" w:rsidRPr="004416CF">
        <w:rPr>
          <w:color w:val="3B3838" w:themeColor="background2" w:themeShade="40"/>
        </w:rPr>
        <w:t>mail</w:t>
      </w:r>
      <w:r w:rsidR="003F44C4" w:rsidRPr="004416CF">
        <w:rPr>
          <w:color w:val="3B3838" w:themeColor="background2" w:themeShade="40"/>
        </w:rPr>
        <w:tab/>
      </w:r>
      <w:hyperlink r:id="rId56" w:history="1">
        <w:r w:rsidR="00F67C18" w:rsidRPr="003155FD">
          <w:rPr>
            <w:u w:val="single"/>
          </w:rPr>
          <w:t>annualreport@qca.org.au</w:t>
        </w:r>
      </w:hyperlink>
    </w:p>
    <w:p w14:paraId="75E62BD7" w14:textId="36E43A99" w:rsidR="003F44C4" w:rsidRPr="004416CF" w:rsidRDefault="00B77410" w:rsidP="0058281B">
      <w:pPr>
        <w:spacing w:before="37" w:after="0"/>
        <w:rPr>
          <w:color w:val="3B3838" w:themeColor="background2" w:themeShade="40"/>
        </w:rPr>
      </w:pPr>
      <w:r>
        <w:rPr>
          <w:color w:val="3B3838" w:themeColor="background2" w:themeShade="40"/>
        </w:rPr>
        <w:t>m</w:t>
      </w:r>
      <w:r w:rsidR="003F44C4" w:rsidRPr="004416CF">
        <w:rPr>
          <w:color w:val="3B3838" w:themeColor="background2" w:themeShade="40"/>
        </w:rPr>
        <w:t>ail</w:t>
      </w:r>
      <w:r w:rsidR="003F44C4" w:rsidRPr="004416CF">
        <w:rPr>
          <w:color w:val="3B3838" w:themeColor="background2" w:themeShade="40"/>
        </w:rPr>
        <w:tab/>
        <w:t xml:space="preserve">Executive </w:t>
      </w:r>
      <w:r w:rsidR="00B219C2">
        <w:t>Assistant</w:t>
      </w:r>
    </w:p>
    <w:p w14:paraId="1A2CC015" w14:textId="77777777" w:rsidR="003F44C4" w:rsidRPr="004416CF" w:rsidRDefault="003F44C4" w:rsidP="00273B81">
      <w:pPr>
        <w:spacing w:before="37" w:after="0"/>
        <w:ind w:firstLine="567"/>
        <w:rPr>
          <w:color w:val="3B3838" w:themeColor="background2" w:themeShade="40"/>
        </w:rPr>
      </w:pPr>
      <w:r w:rsidRPr="004416CF">
        <w:rPr>
          <w:color w:val="3B3838" w:themeColor="background2" w:themeShade="40"/>
        </w:rPr>
        <w:t>Queensland Competition Authority</w:t>
      </w:r>
    </w:p>
    <w:p w14:paraId="41D1AB8A" w14:textId="77777777" w:rsidR="003F44C4" w:rsidRPr="004416CF" w:rsidRDefault="003F44C4" w:rsidP="00273B81">
      <w:pPr>
        <w:spacing w:before="37" w:after="0"/>
        <w:ind w:firstLine="567"/>
        <w:rPr>
          <w:color w:val="3B3838" w:themeColor="background2" w:themeShade="40"/>
        </w:rPr>
      </w:pPr>
      <w:r w:rsidRPr="004416CF">
        <w:rPr>
          <w:color w:val="3B3838" w:themeColor="background2" w:themeShade="40"/>
        </w:rPr>
        <w:t>GPO Box 2257</w:t>
      </w:r>
    </w:p>
    <w:p w14:paraId="23AE92AB" w14:textId="77777777" w:rsidR="003F44C4" w:rsidRPr="004416CF" w:rsidRDefault="003F44C4" w:rsidP="00273B81">
      <w:pPr>
        <w:spacing w:before="37" w:after="0"/>
        <w:ind w:firstLine="567"/>
        <w:rPr>
          <w:color w:val="3B3838" w:themeColor="background2" w:themeShade="40"/>
        </w:rPr>
      </w:pPr>
      <w:r w:rsidRPr="004416CF">
        <w:rPr>
          <w:color w:val="3B3838" w:themeColor="background2" w:themeShade="40"/>
        </w:rPr>
        <w:t>Brisbane</w:t>
      </w:r>
      <w:r w:rsidR="00AE0CD3">
        <w:rPr>
          <w:color w:val="3B3838" w:themeColor="background2" w:themeShade="40"/>
        </w:rPr>
        <w:t xml:space="preserve"> </w:t>
      </w:r>
      <w:r w:rsidRPr="004416CF">
        <w:rPr>
          <w:color w:val="3B3838" w:themeColor="background2" w:themeShade="40"/>
        </w:rPr>
        <w:t>Q</w:t>
      </w:r>
      <w:r w:rsidR="00AE318F">
        <w:rPr>
          <w:color w:val="3B3838" w:themeColor="background2" w:themeShade="40"/>
        </w:rPr>
        <w:t>ld</w:t>
      </w:r>
      <w:r w:rsidR="00AE0CD3">
        <w:rPr>
          <w:color w:val="3B3838" w:themeColor="background2" w:themeShade="40"/>
        </w:rPr>
        <w:t xml:space="preserve"> </w:t>
      </w:r>
      <w:r w:rsidRPr="004416CF">
        <w:rPr>
          <w:color w:val="3B3838" w:themeColor="background2" w:themeShade="40"/>
        </w:rPr>
        <w:t>4001</w:t>
      </w:r>
    </w:p>
    <w:p w14:paraId="7B3D732C" w14:textId="16A7A04A" w:rsidR="003F44C4" w:rsidRPr="004416CF" w:rsidRDefault="00B77410" w:rsidP="003F44C4">
      <w:pPr>
        <w:rPr>
          <w:color w:val="3B3838" w:themeColor="background2" w:themeShade="40"/>
        </w:rPr>
      </w:pPr>
      <w:proofErr w:type="spellStart"/>
      <w:r>
        <w:rPr>
          <w:color w:val="3B3838" w:themeColor="background2" w:themeShade="40"/>
        </w:rPr>
        <w:t>tel</w:t>
      </w:r>
      <w:proofErr w:type="spellEnd"/>
      <w:r w:rsidR="003F44C4" w:rsidRPr="004416CF">
        <w:rPr>
          <w:color w:val="3B3838" w:themeColor="background2" w:themeShade="40"/>
        </w:rPr>
        <w:tab/>
        <w:t>(07) 3222 0555</w:t>
      </w:r>
    </w:p>
    <w:p w14:paraId="7F786301" w14:textId="37BD01BD" w:rsidR="003F44C4" w:rsidRPr="004416CF" w:rsidRDefault="00B77410" w:rsidP="003F44C4">
      <w:pPr>
        <w:rPr>
          <w:color w:val="3B3838" w:themeColor="background2" w:themeShade="40"/>
        </w:rPr>
      </w:pPr>
      <w:r>
        <w:rPr>
          <w:color w:val="3B3838" w:themeColor="background2" w:themeShade="40"/>
        </w:rPr>
        <w:t>f</w:t>
      </w:r>
      <w:r w:rsidR="003F44C4" w:rsidRPr="004416CF">
        <w:rPr>
          <w:color w:val="3B3838" w:themeColor="background2" w:themeShade="40"/>
        </w:rPr>
        <w:t>ax</w:t>
      </w:r>
      <w:r w:rsidR="003F44C4" w:rsidRPr="004416CF">
        <w:rPr>
          <w:color w:val="3B3838" w:themeColor="background2" w:themeShade="40"/>
        </w:rPr>
        <w:tab/>
        <w:t>(07) 3222 0599</w:t>
      </w:r>
    </w:p>
    <w:p w14:paraId="487B1FAA" w14:textId="49C9D42D" w:rsidR="003F44C4" w:rsidRPr="004416CF" w:rsidRDefault="003F44C4" w:rsidP="003F44C4">
      <w:pPr>
        <w:rPr>
          <w:color w:val="3B3838" w:themeColor="background2" w:themeShade="40"/>
        </w:rPr>
      </w:pPr>
      <w:r w:rsidRPr="004416CF">
        <w:rPr>
          <w:color w:val="3B3838" w:themeColor="background2" w:themeShade="40"/>
        </w:rPr>
        <w:t xml:space="preserve">This report is available in PDF format </w:t>
      </w:r>
      <w:r w:rsidR="00DE08CD" w:rsidRPr="004416CF">
        <w:rPr>
          <w:color w:val="3B3838" w:themeColor="background2" w:themeShade="40"/>
        </w:rPr>
        <w:br/>
      </w:r>
      <w:r w:rsidRPr="004416CF">
        <w:rPr>
          <w:color w:val="3B3838" w:themeColor="background2" w:themeShade="40"/>
        </w:rPr>
        <w:t xml:space="preserve">on </w:t>
      </w:r>
      <w:r w:rsidR="000F0EE9">
        <w:t>our</w:t>
      </w:r>
      <w:r w:rsidRPr="004416CF">
        <w:rPr>
          <w:color w:val="3B3838" w:themeColor="background2" w:themeShade="40"/>
        </w:rPr>
        <w:t xml:space="preserve"> website</w:t>
      </w:r>
      <w:r w:rsidR="00E80F47" w:rsidRPr="00DB3A4B">
        <w:rPr>
          <w:rStyle w:val="QCABlue"/>
          <w:color w:val="auto"/>
        </w:rPr>
        <w:t xml:space="preserve">: </w:t>
      </w:r>
      <w:hyperlink r:id="rId57" w:history="1">
        <w:r w:rsidR="00E80F47" w:rsidRPr="0033698F">
          <w:rPr>
            <w:rStyle w:val="Hyperlink"/>
          </w:rPr>
          <w:t>https://www.qca.org.au/our-role/</w:t>
        </w:r>
      </w:hyperlink>
      <w:r w:rsidR="00E80F47">
        <w:rPr>
          <w:rStyle w:val="QCABlue"/>
          <w:color w:val="auto"/>
          <w:u w:val="single"/>
        </w:rPr>
        <w:t xml:space="preserve"> </w:t>
      </w:r>
      <w:r w:rsidR="005F5D6F">
        <w:rPr>
          <w:rStyle w:val="QCABlue"/>
          <w:color w:val="auto"/>
        </w:rPr>
        <w:t xml:space="preserve"> </w:t>
      </w:r>
    </w:p>
    <w:p w14:paraId="367A91CD" w14:textId="77777777" w:rsidR="00856422" w:rsidRDefault="009C5D62">
      <w:pPr>
        <w:pStyle w:val="Heading4"/>
      </w:pPr>
      <w:r w:rsidRPr="009C5D62">
        <w:t>Open data</w:t>
      </w:r>
    </w:p>
    <w:p w14:paraId="17384589" w14:textId="5EDDA8EC" w:rsidR="003F44C4" w:rsidRDefault="008667D7" w:rsidP="003F44C4">
      <w:pPr>
        <w:rPr>
          <w:rStyle w:val="QCABlue"/>
          <w:color w:val="00A2E5"/>
        </w:rPr>
      </w:pPr>
      <w:r w:rsidRPr="004416CF">
        <w:rPr>
          <w:color w:val="3B3838" w:themeColor="background2" w:themeShade="40"/>
        </w:rPr>
        <w:t xml:space="preserve">Further information </w:t>
      </w:r>
      <w:r w:rsidR="00571762">
        <w:rPr>
          <w:color w:val="3B3838" w:themeColor="background2" w:themeShade="40"/>
        </w:rPr>
        <w:t xml:space="preserve">on the following </w:t>
      </w:r>
      <w:r w:rsidRPr="004416CF">
        <w:rPr>
          <w:color w:val="3B3838" w:themeColor="background2" w:themeShade="40"/>
        </w:rPr>
        <w:t xml:space="preserve">is available </w:t>
      </w:r>
      <w:r w:rsidR="00DE08CD" w:rsidRPr="004416CF">
        <w:rPr>
          <w:color w:val="3B3838" w:themeColor="background2" w:themeShade="40"/>
        </w:rPr>
        <w:t>thr</w:t>
      </w:r>
      <w:r w:rsidR="008857C6" w:rsidRPr="004416CF">
        <w:rPr>
          <w:color w:val="3B3838" w:themeColor="background2" w:themeShade="40"/>
        </w:rPr>
        <w:t>ough the Queensland Government’s O</w:t>
      </w:r>
      <w:r w:rsidR="00DE08CD" w:rsidRPr="004416CF">
        <w:rPr>
          <w:color w:val="3B3838" w:themeColor="background2" w:themeShade="40"/>
        </w:rPr>
        <w:t>pen Data website</w:t>
      </w:r>
      <w:r w:rsidR="00580CD4">
        <w:rPr>
          <w:color w:val="3B3838" w:themeColor="background2" w:themeShade="40"/>
        </w:rPr>
        <w:t>,</w:t>
      </w:r>
      <w:r w:rsidRPr="004416CF">
        <w:rPr>
          <w:color w:val="3B3838" w:themeColor="background2" w:themeShade="40"/>
        </w:rPr>
        <w:t xml:space="preserve"> </w:t>
      </w:r>
      <w:hyperlink r:id="rId58" w:history="1">
        <w:r w:rsidR="00E80F47" w:rsidRPr="0033698F">
          <w:rPr>
            <w:rStyle w:val="Hyperlink"/>
          </w:rPr>
          <w:t>https://data.qld.gov.au</w:t>
        </w:r>
      </w:hyperlink>
      <w:r w:rsidR="00E80F47">
        <w:rPr>
          <w:rStyle w:val="QCABlue"/>
          <w:color w:val="auto"/>
          <w:u w:val="single"/>
        </w:rPr>
        <w:t xml:space="preserve"> </w:t>
      </w:r>
    </w:p>
    <w:p w14:paraId="64D04700" w14:textId="041DBF07" w:rsidR="00571762" w:rsidRDefault="00571762" w:rsidP="00E710B7">
      <w:pPr>
        <w:pStyle w:val="QCABullet"/>
        <w:tabs>
          <w:tab w:val="left" w:pos="4253"/>
        </w:tabs>
        <w:ind w:right="169"/>
      </w:pPr>
      <w:r>
        <w:t>Consultancies 20</w:t>
      </w:r>
      <w:r w:rsidR="00655617">
        <w:t>20</w:t>
      </w:r>
      <w:r>
        <w:t>–</w:t>
      </w:r>
      <w:r w:rsidR="00E7717E">
        <w:t>2</w:t>
      </w:r>
      <w:r w:rsidR="00655617">
        <w:t>1</w:t>
      </w:r>
    </w:p>
    <w:p w14:paraId="2540A79D" w14:textId="149AF373" w:rsidR="00571762" w:rsidRDefault="00571762" w:rsidP="00571762">
      <w:pPr>
        <w:pStyle w:val="QCABullet"/>
      </w:pPr>
      <w:r>
        <w:t>Overseas travel 20</w:t>
      </w:r>
      <w:r w:rsidR="00655617">
        <w:t>20</w:t>
      </w:r>
      <w:r>
        <w:t>–</w:t>
      </w:r>
      <w:r w:rsidR="00E7717E">
        <w:t>2</w:t>
      </w:r>
      <w:r w:rsidR="00655617">
        <w:t>1</w:t>
      </w:r>
      <w:r w:rsidR="002F2B9C">
        <w:t>.</w:t>
      </w:r>
    </w:p>
    <w:p w14:paraId="6EDF02A2" w14:textId="77777777" w:rsidR="008667D7" w:rsidRPr="004416CF" w:rsidRDefault="008667D7" w:rsidP="003F44C4">
      <w:pPr>
        <w:rPr>
          <w:color w:val="3B3838" w:themeColor="background2" w:themeShade="40"/>
        </w:rPr>
      </w:pPr>
    </w:p>
    <w:p w14:paraId="7C75034C" w14:textId="77777777" w:rsidR="007E2099" w:rsidRPr="004416CF" w:rsidRDefault="003F44C4">
      <w:pPr>
        <w:pStyle w:val="QCABodyText"/>
      </w:pPr>
      <w:r w:rsidRPr="004416CF">
        <w:t>ISSN 1839-213X</w:t>
      </w:r>
    </w:p>
    <w:p w14:paraId="300C83F4" w14:textId="77777777" w:rsidR="00A47539" w:rsidRDefault="00DE08CD" w:rsidP="00A47539">
      <w:pPr>
        <w:pStyle w:val="Heading3-nospaceabove"/>
      </w:pPr>
      <w:r w:rsidRPr="004416CF">
        <w:br w:type="column"/>
      </w:r>
    </w:p>
    <w:p w14:paraId="6B2EFF87" w14:textId="77777777" w:rsidR="00C13790" w:rsidRPr="00A47539" w:rsidRDefault="00C13790" w:rsidP="002C0E5A">
      <w:pPr>
        <w:pStyle w:val="Heading3-nospaceabove"/>
        <w:spacing w:after="240"/>
      </w:pPr>
    </w:p>
    <w:p w14:paraId="050DE0B9" w14:textId="4B0E1503" w:rsidR="00290C12" w:rsidRDefault="009C5D62" w:rsidP="003155FD">
      <w:pPr>
        <w:pStyle w:val="Heading4"/>
        <w:spacing w:before="0"/>
      </w:pPr>
      <w:r w:rsidRPr="009C5D62">
        <w:t>Translating and interpreting assistance</w:t>
      </w:r>
    </w:p>
    <w:p w14:paraId="0072C44C" w14:textId="02085733" w:rsidR="00DE08CD" w:rsidRPr="004416CF" w:rsidRDefault="00C61607" w:rsidP="00B466B2">
      <w:pPr>
        <w:pStyle w:val="QCABodyText"/>
      </w:pPr>
      <w:r>
        <w:t>We are</w:t>
      </w:r>
      <w:r w:rsidR="00B466B2" w:rsidRPr="004416CF">
        <w:t xml:space="preserve"> committed to providing accessible services to Queenslanders from all culturally and linguistically diverse backgrounds.</w:t>
      </w:r>
      <w:r w:rsidR="000C4891" w:rsidRPr="004416CF">
        <w:t xml:space="preserve"> </w:t>
      </w:r>
    </w:p>
    <w:p w14:paraId="4DE135BB" w14:textId="233C78BE" w:rsidR="00B466B2" w:rsidRPr="004416CF" w:rsidRDefault="00B466B2" w:rsidP="00B466B2">
      <w:pPr>
        <w:pStyle w:val="QCABodyText"/>
      </w:pPr>
      <w:r w:rsidRPr="004416CF">
        <w:t xml:space="preserve">If you have difficulty in understanding the annual report, you can contact us on (07) 3222 0555 and we will arrange an interpreter to </w:t>
      </w:r>
      <w:r w:rsidR="00B77410">
        <w:t>assist</w:t>
      </w:r>
      <w:r w:rsidRPr="004416CF">
        <w:t xml:space="preserve"> you.</w:t>
      </w:r>
    </w:p>
    <w:p w14:paraId="700E2495" w14:textId="4C8043CE" w:rsidR="00B3577E" w:rsidRDefault="00B3577E" w:rsidP="003155FD">
      <w:pPr>
        <w:pStyle w:val="Heading4"/>
        <w:pBdr>
          <w:bottom w:val="none" w:sz="0" w:space="0" w:color="auto"/>
        </w:pBdr>
      </w:pPr>
      <w:r>
        <w:rPr>
          <w:noProof/>
          <w:color w:val="3B3838" w:themeColor="background2" w:themeShade="40"/>
          <w:lang w:eastAsia="en-AU"/>
        </w:rPr>
        <w:drawing>
          <wp:anchor distT="0" distB="0" distL="114300" distR="114300" simplePos="0" relativeHeight="251657216" behindDoc="0" locked="0" layoutInCell="1" allowOverlap="1" wp14:anchorId="4141873F" wp14:editId="0C54B906">
            <wp:simplePos x="0" y="0"/>
            <wp:positionH relativeFrom="column">
              <wp:align>left</wp:align>
            </wp:positionH>
            <wp:positionV relativeFrom="paragraph">
              <wp:posOffset>91440</wp:posOffset>
            </wp:positionV>
            <wp:extent cx="553720" cy="552450"/>
            <wp:effectExtent l="0" t="0" r="0" b="0"/>
            <wp:wrapSquare wrapText="bothSides"/>
            <wp:docPr id="2" name="Picture 1" descr="http://www.immi.gov.au/living-in-australia/help-with-english/NIS/interpreter_symbo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i.gov.au/living-in-australia/help-with-english/NIS/interpreter_symbol_text.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3720" cy="552450"/>
                    </a:xfrm>
                    <a:prstGeom prst="rect">
                      <a:avLst/>
                    </a:prstGeom>
                    <a:noFill/>
                    <a:ln w="9525">
                      <a:noFill/>
                      <a:miter lim="800000"/>
                      <a:headEnd/>
                      <a:tailEnd/>
                    </a:ln>
                  </pic:spPr>
                </pic:pic>
              </a:graphicData>
            </a:graphic>
          </wp:anchor>
        </w:drawing>
      </w:r>
    </w:p>
    <w:p w14:paraId="4C194795" w14:textId="420B973B" w:rsidR="00B3577E" w:rsidRDefault="00B3577E" w:rsidP="003155FD">
      <w:pPr>
        <w:pStyle w:val="Heading4"/>
        <w:pBdr>
          <w:bottom w:val="none" w:sz="0" w:space="0" w:color="auto"/>
        </w:pBdr>
      </w:pPr>
    </w:p>
    <w:p w14:paraId="51B57A4A" w14:textId="77777777" w:rsidR="00B3577E" w:rsidRPr="00B3577E" w:rsidRDefault="00B3577E" w:rsidP="003B7EDE">
      <w:pPr>
        <w:pStyle w:val="QCABodyText"/>
      </w:pPr>
    </w:p>
    <w:p w14:paraId="53D72186" w14:textId="1243C243" w:rsidR="00856422" w:rsidRDefault="009C5D62">
      <w:pPr>
        <w:pStyle w:val="Heading4"/>
      </w:pPr>
      <w:r w:rsidRPr="009C5D62">
        <w:t>Feedback</w:t>
      </w:r>
    </w:p>
    <w:p w14:paraId="7F2DE7C5" w14:textId="401AA602" w:rsidR="00B466B2" w:rsidRPr="00F61F79" w:rsidRDefault="00B466B2" w:rsidP="00B466B2">
      <w:pPr>
        <w:pStyle w:val="QCABodyText"/>
      </w:pPr>
      <w:r w:rsidRPr="004416CF">
        <w:t xml:space="preserve">Readers are encouraged to provide feedback </w:t>
      </w:r>
      <w:r w:rsidR="000C44B9" w:rsidRPr="004416CF">
        <w:br/>
      </w:r>
      <w:r w:rsidRPr="004416CF">
        <w:t xml:space="preserve">on the contents or structure of this report by contacting </w:t>
      </w:r>
      <w:r w:rsidR="00C61607">
        <w:t>us</w:t>
      </w:r>
      <w:r w:rsidR="00F61F79">
        <w:t xml:space="preserve"> at </w:t>
      </w:r>
      <w:hyperlink r:id="rId61" w:history="1">
        <w:r w:rsidR="00E710B7" w:rsidRPr="001C497A">
          <w:rPr>
            <w:rStyle w:val="Hyperlink"/>
          </w:rPr>
          <w:t>annualreport@qca.org.au</w:t>
        </w:r>
      </w:hyperlink>
      <w:r w:rsidR="00E710B7">
        <w:rPr>
          <w:color w:val="auto"/>
        </w:rPr>
        <w:t xml:space="preserve"> </w:t>
      </w:r>
    </w:p>
    <w:p w14:paraId="1F216575" w14:textId="77777777" w:rsidR="00B466B2" w:rsidRPr="004416CF" w:rsidRDefault="00B466B2" w:rsidP="00B466B2">
      <w:pPr>
        <w:pStyle w:val="QCABodyText"/>
      </w:pPr>
    </w:p>
    <w:p w14:paraId="5F3DFAC4" w14:textId="77777777" w:rsidR="00B466B2" w:rsidRPr="004416CF" w:rsidRDefault="00B466B2" w:rsidP="00B466B2">
      <w:pPr>
        <w:pStyle w:val="QCABodyText"/>
      </w:pPr>
    </w:p>
    <w:p w14:paraId="67CA130F" w14:textId="77777777" w:rsidR="00B466B2" w:rsidRPr="004416CF" w:rsidRDefault="00B466B2" w:rsidP="00B466B2">
      <w:pPr>
        <w:rPr>
          <w:color w:val="3B3838" w:themeColor="background2" w:themeShade="40"/>
        </w:rPr>
      </w:pPr>
    </w:p>
    <w:p w14:paraId="4E4A08D4" w14:textId="77777777" w:rsidR="00996B87" w:rsidRPr="004416CF" w:rsidRDefault="00996B87" w:rsidP="00996B87">
      <w:pPr>
        <w:pStyle w:val="QCABodyText"/>
      </w:pPr>
    </w:p>
    <w:sectPr w:rsidR="00996B87" w:rsidRPr="004416CF" w:rsidSect="00C1619B">
      <w:pgSz w:w="11907" w:h="16840" w:code="9"/>
      <w:pgMar w:top="1361" w:right="851" w:bottom="1814" w:left="1814" w:header="284" w:footer="17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4FB2D" w14:textId="77777777" w:rsidR="0096382F" w:rsidRDefault="0096382F" w:rsidP="002614F4">
      <w:pPr>
        <w:spacing w:before="0" w:after="0" w:line="240" w:lineRule="auto"/>
      </w:pPr>
      <w:r>
        <w:separator/>
      </w:r>
    </w:p>
  </w:endnote>
  <w:endnote w:type="continuationSeparator" w:id="0">
    <w:p w14:paraId="785266F0" w14:textId="77777777" w:rsidR="0096382F" w:rsidRDefault="0096382F" w:rsidP="002614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auto"/>
    <w:pitch w:val="variable"/>
    <w:sig w:usb0="00000000" w:usb1="00000000" w:usb2="07040407" w:usb3="00000000" w:csb0="00020000" w:csb1="00000000"/>
  </w:font>
  <w:font w:name="Calibri Light">
    <w:panose1 w:val="020F0302020204030204"/>
    <w:charset w:val="00"/>
    <w:family w:val="swiss"/>
    <w:pitch w:val="variable"/>
    <w:sig w:usb0="E4002EFF" w:usb1="C000247B" w:usb2="00000009" w:usb3="00000000" w:csb0="000001FF" w:csb1="00000000"/>
  </w:font>
  <w:font w:name="Calvert MT Light">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2"/>
      <w:gridCol w:w="8530"/>
    </w:tblGrid>
    <w:tr w:rsidR="0096382F" w14:paraId="3FB8F40A" w14:textId="77777777" w:rsidTr="002614F4">
      <w:tc>
        <w:tcPr>
          <w:tcW w:w="385" w:type="pct"/>
        </w:tcPr>
        <w:p w14:paraId="709A86C5" w14:textId="0B35DC80" w:rsidR="0096382F" w:rsidRDefault="0096382F">
          <w:pPr>
            <w:pStyle w:val="NONCAPS-LEFT"/>
          </w:pPr>
          <w:r>
            <w:fldChar w:fldCharType="begin"/>
          </w:r>
          <w:r>
            <w:instrText xml:space="preserve"> PAGE  \* roman  \* MERGEFORMAT </w:instrText>
          </w:r>
          <w:r>
            <w:fldChar w:fldCharType="separate"/>
          </w:r>
          <w:r>
            <w:rPr>
              <w:noProof/>
            </w:rPr>
            <w:t>ii</w:t>
          </w:r>
          <w:r>
            <w:rPr>
              <w:noProof/>
            </w:rPr>
            <w:fldChar w:fldCharType="end"/>
          </w:r>
        </w:p>
      </w:tc>
      <w:tc>
        <w:tcPr>
          <w:tcW w:w="4615" w:type="pct"/>
        </w:tcPr>
        <w:p w14:paraId="7331272E" w14:textId="77777777" w:rsidR="0096382F" w:rsidRPr="002614F4" w:rsidRDefault="0096382F" w:rsidP="00C67FAA">
          <w:pPr>
            <w:pStyle w:val="Footer"/>
          </w:pPr>
          <w:r w:rsidRPr="002614F4">
            <w:t>QUEENSLAND COMPETITION AUTHORITY</w:t>
          </w:r>
        </w:p>
      </w:tc>
    </w:tr>
  </w:tbl>
  <w:p w14:paraId="357705DD" w14:textId="77777777" w:rsidR="0096382F" w:rsidRDefault="0096382F" w:rsidP="002614F4">
    <w:pPr>
      <w:pStyle w:val="QCATableG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9D7B" w14:textId="77777777" w:rsidR="0096382F" w:rsidRDefault="009638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jc w:val="right"/>
      <w:tblLook w:val="04A0" w:firstRow="1" w:lastRow="0" w:firstColumn="1" w:lastColumn="0" w:noHBand="0" w:noVBand="1"/>
    </w:tblPr>
    <w:tblGrid>
      <w:gridCol w:w="8898"/>
      <w:gridCol w:w="635"/>
    </w:tblGrid>
    <w:tr w:rsidR="0096382F" w14:paraId="47603F3D" w14:textId="77777777" w:rsidTr="002C2FB6">
      <w:trPr>
        <w:jc w:val="right"/>
      </w:trPr>
      <w:tc>
        <w:tcPr>
          <w:tcW w:w="4667" w:type="pct"/>
        </w:tcPr>
        <w:p w14:paraId="6F67D5EF" w14:textId="74ED96CC" w:rsidR="0096382F" w:rsidRPr="00E21C1D" w:rsidRDefault="0096382F" w:rsidP="00121D68">
          <w:pPr>
            <w:pStyle w:val="QCAFooterEven"/>
          </w:pPr>
          <w:r w:rsidRPr="00E21C1D">
            <w:t>ANNUAL REPORT 20</w:t>
          </w:r>
          <w:r w:rsidR="00E71A2B">
            <w:t>20</w:t>
          </w:r>
          <w:r w:rsidRPr="00E21C1D">
            <w:t>–</w:t>
          </w:r>
          <w:r>
            <w:t>2</w:t>
          </w:r>
          <w:r w:rsidR="00E71A2B">
            <w:t>1</w:t>
          </w:r>
        </w:p>
      </w:tc>
      <w:tc>
        <w:tcPr>
          <w:tcW w:w="333" w:type="pct"/>
        </w:tcPr>
        <w:p w14:paraId="7D873745" w14:textId="61214CCC" w:rsidR="0096382F" w:rsidRPr="00FC44DA" w:rsidRDefault="0096382F" w:rsidP="006731AF">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19</w:t>
          </w:r>
          <w:r w:rsidRPr="00DE3F4A">
            <w:rPr>
              <w:color w:val="auto"/>
            </w:rPr>
            <w:fldChar w:fldCharType="end"/>
          </w:r>
        </w:p>
      </w:tc>
    </w:tr>
  </w:tbl>
  <w:p w14:paraId="5266D3A9" w14:textId="77777777" w:rsidR="0096382F" w:rsidRDefault="0096382F" w:rsidP="00B31333">
    <w:pPr>
      <w:pStyle w:val="Footer"/>
      <w:tabs>
        <w:tab w:val="left" w:pos="7655"/>
      </w:tabs>
      <w:rPr>
        <w:sz w:val="2"/>
        <w:szCs w:val="2"/>
      </w:rPr>
    </w:pPr>
  </w:p>
  <w:p w14:paraId="4DD2E5B1" w14:textId="77777777" w:rsidR="0096382F" w:rsidRDefault="0096382F">
    <w:pPr>
      <w:pStyle w:val="Footer"/>
      <w:tabs>
        <w:tab w:val="left" w:pos="7655"/>
      </w:tabs>
      <w:rPr>
        <w:rFonts w:ascii="AvantGarde Bk BT" w:hAnsi="AvantGarde Bk BT"/>
        <w:sz w:val="2"/>
        <w:szCs w:val="2"/>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230" w:type="pct"/>
      <w:tblLook w:val="04A0" w:firstRow="1" w:lastRow="0" w:firstColumn="1" w:lastColumn="0" w:noHBand="0" w:noVBand="1"/>
    </w:tblPr>
    <w:tblGrid>
      <w:gridCol w:w="782"/>
      <w:gridCol w:w="7037"/>
    </w:tblGrid>
    <w:tr w:rsidR="00381567" w14:paraId="5E6CE818" w14:textId="77777777" w:rsidTr="004E5ADD">
      <w:tc>
        <w:tcPr>
          <w:tcW w:w="500" w:type="pct"/>
        </w:tcPr>
        <w:p w14:paraId="45584F14" w14:textId="77777777" w:rsidR="00381567" w:rsidRPr="002614F4" w:rsidRDefault="00381567" w:rsidP="00856422">
          <w:pPr>
            <w:pStyle w:val="Footer"/>
          </w:pPr>
          <w:r>
            <w:ptab w:relativeTo="margin" w:alignment="left" w:leader="none"/>
          </w: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noProof/>
              <w:color w:val="auto"/>
            </w:rPr>
            <w:t>20</w:t>
          </w:r>
          <w:r w:rsidRPr="00DE3F4A">
            <w:rPr>
              <w:color w:val="auto"/>
            </w:rPr>
            <w:fldChar w:fldCharType="end"/>
          </w:r>
        </w:p>
      </w:tc>
      <w:tc>
        <w:tcPr>
          <w:tcW w:w="4500" w:type="pct"/>
        </w:tcPr>
        <w:p w14:paraId="67DE83A3" w14:textId="77777777" w:rsidR="00381567" w:rsidRPr="00E21C1D" w:rsidRDefault="00381567" w:rsidP="00856422">
          <w:pPr>
            <w:pStyle w:val="Footer"/>
          </w:pPr>
          <w:r w:rsidRPr="00E21C1D">
            <w:t>QUEENSLAND COMPETITION AUTHORITY</w:t>
          </w:r>
        </w:p>
      </w:tc>
    </w:tr>
  </w:tbl>
  <w:p w14:paraId="1310BF6E" w14:textId="77777777" w:rsidR="00381567" w:rsidRDefault="00381567" w:rsidP="005E1E02">
    <w:pPr>
      <w:pStyle w:val="QCATableG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jc w:val="right"/>
      <w:tblLook w:val="04A0" w:firstRow="1" w:lastRow="0" w:firstColumn="1" w:lastColumn="0" w:noHBand="0" w:noVBand="1"/>
    </w:tblPr>
    <w:tblGrid>
      <w:gridCol w:w="12929"/>
      <w:gridCol w:w="923"/>
    </w:tblGrid>
    <w:tr w:rsidR="00381567" w14:paraId="53758854" w14:textId="77777777" w:rsidTr="002C2FB6">
      <w:trPr>
        <w:jc w:val="right"/>
      </w:trPr>
      <w:tc>
        <w:tcPr>
          <w:tcW w:w="4667" w:type="pct"/>
        </w:tcPr>
        <w:p w14:paraId="00AD0A38" w14:textId="77777777" w:rsidR="00381567" w:rsidRPr="00E21C1D" w:rsidRDefault="00381567" w:rsidP="00121D68">
          <w:pPr>
            <w:pStyle w:val="QCAFooterEven"/>
          </w:pPr>
          <w:r w:rsidRPr="00E21C1D">
            <w:t>ANNUAL REPORT 20</w:t>
          </w:r>
          <w:r>
            <w:t>20</w:t>
          </w:r>
          <w:r w:rsidRPr="00E21C1D">
            <w:t>–</w:t>
          </w:r>
          <w:r>
            <w:t>21</w:t>
          </w:r>
        </w:p>
      </w:tc>
      <w:tc>
        <w:tcPr>
          <w:tcW w:w="333" w:type="pct"/>
        </w:tcPr>
        <w:p w14:paraId="096DC6F0" w14:textId="77777777" w:rsidR="00381567" w:rsidRPr="00FC44DA" w:rsidRDefault="00381567" w:rsidP="006731AF">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19</w:t>
          </w:r>
          <w:r w:rsidRPr="00DE3F4A">
            <w:rPr>
              <w:color w:val="auto"/>
            </w:rPr>
            <w:fldChar w:fldCharType="end"/>
          </w:r>
        </w:p>
      </w:tc>
    </w:tr>
  </w:tbl>
  <w:p w14:paraId="5EFBEB1F" w14:textId="77777777" w:rsidR="00381567" w:rsidRDefault="00381567" w:rsidP="00B31333">
    <w:pPr>
      <w:pStyle w:val="Footer"/>
      <w:tabs>
        <w:tab w:val="left" w:pos="7655"/>
      </w:tabs>
      <w:rPr>
        <w:sz w:val="2"/>
        <w:szCs w:val="2"/>
      </w:rPr>
    </w:pPr>
  </w:p>
  <w:p w14:paraId="0177FC4D" w14:textId="77777777" w:rsidR="00381567" w:rsidRDefault="00381567">
    <w:pPr>
      <w:pStyle w:val="Footer"/>
      <w:tabs>
        <w:tab w:val="left" w:pos="7655"/>
      </w:tabs>
      <w:rPr>
        <w:rFonts w:ascii="AvantGarde Bk BT" w:hAnsi="AvantGarde Bk BT"/>
        <w:sz w:val="2"/>
        <w:szCs w:val="2"/>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9643" w14:textId="77777777" w:rsidR="00381567" w:rsidRDefault="0038156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230" w:type="pct"/>
      <w:tblLook w:val="04A0" w:firstRow="1" w:lastRow="0" w:firstColumn="1" w:lastColumn="0" w:noHBand="0" w:noVBand="1"/>
    </w:tblPr>
    <w:tblGrid>
      <w:gridCol w:w="815"/>
      <w:gridCol w:w="7339"/>
    </w:tblGrid>
    <w:tr w:rsidR="0096382F" w14:paraId="3C8A1D6A" w14:textId="77777777" w:rsidTr="004E5ADD">
      <w:tc>
        <w:tcPr>
          <w:tcW w:w="500" w:type="pct"/>
        </w:tcPr>
        <w:p w14:paraId="7BCDCCCA" w14:textId="555FC92F" w:rsidR="0096382F" w:rsidRPr="002614F4" w:rsidRDefault="0096382F" w:rsidP="00856422">
          <w:pPr>
            <w:pStyle w:val="Footer"/>
          </w:pPr>
          <w:r>
            <w:ptab w:relativeTo="margin" w:alignment="left" w:leader="none"/>
          </w: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noProof/>
              <w:color w:val="auto"/>
            </w:rPr>
            <w:t>30</w:t>
          </w:r>
          <w:r w:rsidRPr="00DE3F4A">
            <w:rPr>
              <w:color w:val="auto"/>
            </w:rPr>
            <w:fldChar w:fldCharType="end"/>
          </w:r>
        </w:p>
      </w:tc>
      <w:tc>
        <w:tcPr>
          <w:tcW w:w="4500" w:type="pct"/>
        </w:tcPr>
        <w:p w14:paraId="213655E6" w14:textId="77777777" w:rsidR="0096382F" w:rsidRPr="00E21C1D" w:rsidRDefault="0096382F" w:rsidP="00856422">
          <w:pPr>
            <w:pStyle w:val="Footer"/>
          </w:pPr>
          <w:r w:rsidRPr="00E21C1D">
            <w:t>QUEENSLAND COMPETITION AUTHORITY</w:t>
          </w:r>
        </w:p>
      </w:tc>
    </w:tr>
  </w:tbl>
  <w:p w14:paraId="19974294" w14:textId="77777777" w:rsidR="0096382F" w:rsidRDefault="0096382F" w:rsidP="005E1E02">
    <w:pPr>
      <w:pStyle w:val="QCATableGap"/>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jc w:val="right"/>
      <w:tblLook w:val="04A0" w:firstRow="1" w:lastRow="0" w:firstColumn="1" w:lastColumn="0" w:noHBand="0" w:noVBand="1"/>
    </w:tblPr>
    <w:tblGrid>
      <w:gridCol w:w="8374"/>
      <w:gridCol w:w="598"/>
    </w:tblGrid>
    <w:tr w:rsidR="0096382F" w14:paraId="71FB61B7" w14:textId="77777777" w:rsidTr="002C2FB6">
      <w:trPr>
        <w:jc w:val="right"/>
      </w:trPr>
      <w:tc>
        <w:tcPr>
          <w:tcW w:w="4667" w:type="pct"/>
        </w:tcPr>
        <w:p w14:paraId="71E5BA92" w14:textId="43053F39" w:rsidR="0096382F" w:rsidRPr="00E21C1D" w:rsidRDefault="0096382F" w:rsidP="00121D68">
          <w:pPr>
            <w:pStyle w:val="QCAFooterEven"/>
          </w:pPr>
          <w:r w:rsidRPr="00E21C1D">
            <w:t>ANNUAL REPORT 20</w:t>
          </w:r>
          <w:r w:rsidR="00E71A2B">
            <w:t>20</w:t>
          </w:r>
          <w:r w:rsidRPr="00E21C1D">
            <w:t>–</w:t>
          </w:r>
          <w:r>
            <w:t>2</w:t>
          </w:r>
          <w:r w:rsidR="00E71A2B">
            <w:t>1</w:t>
          </w:r>
        </w:p>
      </w:tc>
      <w:tc>
        <w:tcPr>
          <w:tcW w:w="333" w:type="pct"/>
        </w:tcPr>
        <w:p w14:paraId="15337425" w14:textId="1E17E527" w:rsidR="0096382F" w:rsidRPr="00FC44DA" w:rsidRDefault="0096382F" w:rsidP="006731AF">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29</w:t>
          </w:r>
          <w:r w:rsidRPr="00DE3F4A">
            <w:rPr>
              <w:color w:val="auto"/>
            </w:rPr>
            <w:fldChar w:fldCharType="end"/>
          </w:r>
        </w:p>
      </w:tc>
    </w:tr>
  </w:tbl>
  <w:p w14:paraId="53E0A51C" w14:textId="77777777" w:rsidR="0096382F" w:rsidRDefault="0096382F" w:rsidP="00B31333">
    <w:pPr>
      <w:pStyle w:val="Footer"/>
      <w:tabs>
        <w:tab w:val="left" w:pos="7655"/>
      </w:tabs>
      <w:rPr>
        <w:sz w:val="2"/>
        <w:szCs w:val="2"/>
      </w:rPr>
    </w:pPr>
  </w:p>
  <w:p w14:paraId="6C2B1848" w14:textId="77777777" w:rsidR="0096382F" w:rsidRDefault="0096382F">
    <w:pPr>
      <w:pStyle w:val="Footer"/>
      <w:tabs>
        <w:tab w:val="left" w:pos="7655"/>
      </w:tabs>
      <w:rPr>
        <w:rFonts w:ascii="AvantGarde Bk BT" w:hAnsi="AvantGarde Bk BT"/>
        <w:sz w:val="2"/>
        <w:szCs w:val="2"/>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C274" w14:textId="77777777" w:rsidR="0096382F" w:rsidRDefault="0096382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ook w:val="04A0" w:firstRow="1" w:lastRow="0" w:firstColumn="1" w:lastColumn="0" w:noHBand="0" w:noVBand="1"/>
    </w:tblPr>
    <w:tblGrid>
      <w:gridCol w:w="8919"/>
      <w:gridCol w:w="719"/>
    </w:tblGrid>
    <w:tr w:rsidR="0096382F" w14:paraId="6F1AF3A6" w14:textId="77777777" w:rsidTr="00495EC2">
      <w:trPr>
        <w:jc w:val="right"/>
      </w:trPr>
      <w:tc>
        <w:tcPr>
          <w:tcW w:w="4627" w:type="pct"/>
        </w:tcPr>
        <w:p w14:paraId="5A4ACD9D" w14:textId="39AEA3C4" w:rsidR="0096382F" w:rsidRPr="002614F4" w:rsidRDefault="0096382F" w:rsidP="00121D68">
          <w:pPr>
            <w:pStyle w:val="QCAFooterEven"/>
          </w:pPr>
          <w:r>
            <w:t>ANNUAL REPORT</w:t>
          </w:r>
          <w:r w:rsidRPr="0062221B">
            <w:t xml:space="preserve"> 20</w:t>
          </w:r>
          <w:r w:rsidR="00E71A2B">
            <w:t>20</w:t>
          </w:r>
          <w:r w:rsidRPr="0062221B">
            <w:t>–</w:t>
          </w:r>
          <w:r>
            <w:t>2</w:t>
          </w:r>
          <w:r w:rsidR="00E71A2B">
            <w:t>1</w:t>
          </w:r>
        </w:p>
      </w:tc>
      <w:tc>
        <w:tcPr>
          <w:tcW w:w="373" w:type="pct"/>
        </w:tcPr>
        <w:p w14:paraId="02BEDC6D" w14:textId="7309578C" w:rsidR="0096382F" w:rsidRDefault="0096382F">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39</w:t>
          </w:r>
          <w:r w:rsidRPr="00DE3F4A">
            <w:rPr>
              <w:color w:val="auto"/>
            </w:rPr>
            <w:fldChar w:fldCharType="end"/>
          </w:r>
        </w:p>
      </w:tc>
    </w:tr>
  </w:tbl>
  <w:p w14:paraId="78020E08" w14:textId="77777777" w:rsidR="0096382F" w:rsidRDefault="0096382F" w:rsidP="002614F4">
    <w:pPr>
      <w:pStyle w:val="QCATableGap"/>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2"/>
      <w:gridCol w:w="8530"/>
    </w:tblGrid>
    <w:tr w:rsidR="0096382F" w14:paraId="6E688383" w14:textId="77777777" w:rsidTr="002614F4">
      <w:tc>
        <w:tcPr>
          <w:tcW w:w="385" w:type="pct"/>
        </w:tcPr>
        <w:p w14:paraId="389C617E" w14:textId="3EF73719" w:rsidR="0096382F" w:rsidRPr="00FC44DA" w:rsidRDefault="0096382F" w:rsidP="002614F4">
          <w:pPr>
            <w:pStyle w:val="Footer"/>
            <w:rPr>
              <w:color w:val="B69A51"/>
            </w:rPr>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noProof/>
              <w:color w:val="auto"/>
            </w:rPr>
            <w:t>62</w:t>
          </w:r>
          <w:r w:rsidRPr="00DE3F4A">
            <w:rPr>
              <w:color w:val="auto"/>
            </w:rPr>
            <w:fldChar w:fldCharType="end"/>
          </w:r>
        </w:p>
      </w:tc>
      <w:tc>
        <w:tcPr>
          <w:tcW w:w="4615" w:type="pct"/>
        </w:tcPr>
        <w:p w14:paraId="6254E881" w14:textId="77777777" w:rsidR="0096382F" w:rsidRPr="002614F4" w:rsidRDefault="0096382F" w:rsidP="00C67FAA">
          <w:pPr>
            <w:pStyle w:val="Footer"/>
          </w:pPr>
          <w:r w:rsidRPr="002614F4">
            <w:t>QUEENSLAND COMPETITION AUTHORITY</w:t>
          </w:r>
        </w:p>
      </w:tc>
    </w:tr>
  </w:tbl>
  <w:p w14:paraId="3A8A32F3" w14:textId="77777777" w:rsidR="0096382F" w:rsidRDefault="0096382F" w:rsidP="002614F4">
    <w:pPr>
      <w:pStyle w:val="QCATableG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73" w:type="pct"/>
      <w:jc w:val="right"/>
      <w:tblLook w:val="04A0" w:firstRow="1" w:lastRow="0" w:firstColumn="1" w:lastColumn="0" w:noHBand="0" w:noVBand="1"/>
    </w:tblPr>
    <w:tblGrid>
      <w:gridCol w:w="689"/>
    </w:tblGrid>
    <w:tr w:rsidR="0096382F" w14:paraId="5FA4CDAC" w14:textId="77777777" w:rsidTr="005E4210">
      <w:trPr>
        <w:jc w:val="right"/>
      </w:trPr>
      <w:tc>
        <w:tcPr>
          <w:tcW w:w="5000" w:type="pct"/>
        </w:tcPr>
        <w:p w14:paraId="627939A1" w14:textId="77777777" w:rsidR="0096382F" w:rsidRPr="002614F4" w:rsidRDefault="0096382F" w:rsidP="002614F4">
          <w:pPr>
            <w:pStyle w:val="QCAFooterEven"/>
          </w:pPr>
        </w:p>
      </w:tc>
    </w:tr>
  </w:tbl>
  <w:p w14:paraId="507326CF" w14:textId="77777777" w:rsidR="0096382F" w:rsidRDefault="0096382F" w:rsidP="002614F4">
    <w:pPr>
      <w:pStyle w:val="QCATableG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ook w:val="04A0" w:firstRow="1" w:lastRow="0" w:firstColumn="1" w:lastColumn="0" w:noHBand="0" w:noVBand="1"/>
    </w:tblPr>
    <w:tblGrid>
      <w:gridCol w:w="9032"/>
      <w:gridCol w:w="728"/>
    </w:tblGrid>
    <w:tr w:rsidR="0096382F" w14:paraId="0D310ADA" w14:textId="77777777" w:rsidTr="00495EC2">
      <w:trPr>
        <w:jc w:val="right"/>
      </w:trPr>
      <w:tc>
        <w:tcPr>
          <w:tcW w:w="4627" w:type="pct"/>
        </w:tcPr>
        <w:p w14:paraId="154C9FAA" w14:textId="108FE75B" w:rsidR="0096382F" w:rsidRPr="002614F4" w:rsidRDefault="0096382F" w:rsidP="00121D68">
          <w:pPr>
            <w:pStyle w:val="QCAFooterEven"/>
          </w:pPr>
          <w:r>
            <w:t>ANNUAL REPORT 20</w:t>
          </w:r>
          <w:r w:rsidR="00E71A2B">
            <w:t>20</w:t>
          </w:r>
          <w:r>
            <w:t>–2</w:t>
          </w:r>
          <w:r w:rsidR="00E71A2B">
            <w:t>1</w:t>
          </w:r>
        </w:p>
      </w:tc>
      <w:tc>
        <w:tcPr>
          <w:tcW w:w="373" w:type="pct"/>
        </w:tcPr>
        <w:p w14:paraId="3795E9A4" w14:textId="613DB045" w:rsidR="0096382F" w:rsidRPr="00FC44DA" w:rsidRDefault="0096382F" w:rsidP="002614F4">
          <w:pPr>
            <w:pStyle w:val="QCAFooterEven"/>
            <w:rPr>
              <w:color w:val="B69A51"/>
            </w:rPr>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noProof/>
              <w:color w:val="auto"/>
            </w:rPr>
            <w:t>63</w:t>
          </w:r>
          <w:r w:rsidRPr="00DE3F4A">
            <w:rPr>
              <w:color w:val="auto"/>
            </w:rPr>
            <w:fldChar w:fldCharType="end"/>
          </w:r>
        </w:p>
      </w:tc>
    </w:tr>
  </w:tbl>
  <w:p w14:paraId="2D7A119B" w14:textId="77777777" w:rsidR="0096382F" w:rsidRDefault="0096382F" w:rsidP="002614F4">
    <w:pPr>
      <w:pStyle w:val="QCATableG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EE87" w14:textId="77777777" w:rsidR="00875F95" w:rsidRDefault="00875F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ook w:val="04A0" w:firstRow="1" w:lastRow="0" w:firstColumn="1" w:lastColumn="0" w:noHBand="0" w:noVBand="1"/>
    </w:tblPr>
    <w:tblGrid>
      <w:gridCol w:w="8632"/>
      <w:gridCol w:w="610"/>
    </w:tblGrid>
    <w:tr w:rsidR="0096382F" w14:paraId="65A65D5B" w14:textId="77777777" w:rsidTr="00FC44DA">
      <w:trPr>
        <w:jc w:val="right"/>
      </w:trPr>
      <w:tc>
        <w:tcPr>
          <w:tcW w:w="4670" w:type="pct"/>
        </w:tcPr>
        <w:p w14:paraId="6276AEBF" w14:textId="264C4F13" w:rsidR="0096382F" w:rsidRPr="00E21C1D" w:rsidRDefault="0096382F" w:rsidP="00121D68">
          <w:pPr>
            <w:pStyle w:val="QCAFooterEven"/>
          </w:pPr>
          <w:r w:rsidRPr="00E21C1D">
            <w:t>ANNUAL REPORT 20</w:t>
          </w:r>
          <w:r w:rsidR="00E71A2B">
            <w:t>20</w:t>
          </w:r>
          <w:r w:rsidRPr="00E21C1D">
            <w:t>–</w:t>
          </w:r>
          <w:r>
            <w:t>2</w:t>
          </w:r>
          <w:r w:rsidR="00E71A2B">
            <w:t>1</w:t>
          </w:r>
        </w:p>
      </w:tc>
      <w:tc>
        <w:tcPr>
          <w:tcW w:w="330" w:type="pct"/>
        </w:tcPr>
        <w:p w14:paraId="7E1ACFE4" w14:textId="646192D2" w:rsidR="0096382F" w:rsidRPr="00FC44DA" w:rsidRDefault="0096382F" w:rsidP="00DD7F28">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i</w:t>
          </w:r>
          <w:r w:rsidRPr="00DE3F4A">
            <w:rPr>
              <w:color w:val="auto"/>
            </w:rPr>
            <w:fldChar w:fldCharType="end"/>
          </w:r>
        </w:p>
      </w:tc>
    </w:tr>
  </w:tbl>
  <w:p w14:paraId="3A584BE4" w14:textId="77777777" w:rsidR="0096382F" w:rsidRDefault="0096382F" w:rsidP="005E1E02">
    <w:pPr>
      <w:pStyle w:val="QCATableG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828" w:type="pct"/>
      <w:tblLook w:val="04A0" w:firstRow="1" w:lastRow="0" w:firstColumn="1" w:lastColumn="0" w:noHBand="0" w:noVBand="1"/>
    </w:tblPr>
    <w:tblGrid>
      <w:gridCol w:w="543"/>
      <w:gridCol w:w="4883"/>
    </w:tblGrid>
    <w:tr w:rsidR="0096382F" w14:paraId="188836FE" w14:textId="77777777" w:rsidTr="00E21C1D">
      <w:tc>
        <w:tcPr>
          <w:tcW w:w="500" w:type="pct"/>
        </w:tcPr>
        <w:p w14:paraId="6B5953B6" w14:textId="5D3E8C84" w:rsidR="0096382F" w:rsidRPr="002614F4" w:rsidRDefault="0096382F" w:rsidP="00856422">
          <w:pPr>
            <w:pStyle w:val="Footer"/>
          </w:pPr>
          <w:r>
            <w:ptab w:relativeTo="margin" w:alignment="left" w:leader="none"/>
          </w: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noProof/>
              <w:color w:val="auto"/>
            </w:rPr>
            <w:t>14</w:t>
          </w:r>
          <w:r w:rsidRPr="00DE3F4A">
            <w:rPr>
              <w:color w:val="auto"/>
            </w:rPr>
            <w:fldChar w:fldCharType="end"/>
          </w:r>
        </w:p>
      </w:tc>
      <w:tc>
        <w:tcPr>
          <w:tcW w:w="4500" w:type="pct"/>
        </w:tcPr>
        <w:p w14:paraId="5CED5950" w14:textId="77777777" w:rsidR="0096382F" w:rsidRPr="00E21C1D" w:rsidRDefault="0096382F" w:rsidP="00856422">
          <w:pPr>
            <w:pStyle w:val="Footer"/>
          </w:pPr>
          <w:r w:rsidRPr="00E21C1D">
            <w:t>QUEENSLAND COMPETITION AUTHORITY</w:t>
          </w:r>
        </w:p>
      </w:tc>
    </w:tr>
  </w:tbl>
  <w:p w14:paraId="3CB27B73" w14:textId="77777777" w:rsidR="0096382F" w:rsidRDefault="0096382F" w:rsidP="005E1E02">
    <w:pPr>
      <w:pStyle w:val="QCATableG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ook w:val="04A0" w:firstRow="1" w:lastRow="0" w:firstColumn="1" w:lastColumn="0" w:noHBand="0" w:noVBand="1"/>
    </w:tblPr>
    <w:tblGrid>
      <w:gridCol w:w="6619"/>
      <w:gridCol w:w="468"/>
    </w:tblGrid>
    <w:tr w:rsidR="0096382F" w14:paraId="6CCAEC03" w14:textId="77777777" w:rsidTr="00FC44DA">
      <w:trPr>
        <w:jc w:val="right"/>
      </w:trPr>
      <w:tc>
        <w:tcPr>
          <w:tcW w:w="4670" w:type="pct"/>
        </w:tcPr>
        <w:p w14:paraId="1EA5ED20" w14:textId="77777777" w:rsidR="0096382F" w:rsidRPr="00E21C1D" w:rsidRDefault="0096382F" w:rsidP="007031A1">
          <w:pPr>
            <w:pStyle w:val="QCAFooterEven"/>
          </w:pPr>
        </w:p>
      </w:tc>
      <w:tc>
        <w:tcPr>
          <w:tcW w:w="330" w:type="pct"/>
        </w:tcPr>
        <w:p w14:paraId="5E8699E6" w14:textId="77777777" w:rsidR="0096382F" w:rsidRPr="00FC44DA" w:rsidRDefault="0096382F" w:rsidP="00DD7F28">
          <w:pPr>
            <w:pStyle w:val="NONCAPS-RIGHT"/>
          </w:pPr>
        </w:p>
      </w:tc>
    </w:tr>
  </w:tbl>
  <w:p w14:paraId="3FCD18AA" w14:textId="77777777" w:rsidR="0096382F" w:rsidRDefault="0096382F" w:rsidP="005E1E02">
    <w:pPr>
      <w:pStyle w:val="QCATableG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ook w:val="04A0" w:firstRow="1" w:lastRow="0" w:firstColumn="1" w:lastColumn="0" w:noHBand="0" w:noVBand="1"/>
    </w:tblPr>
    <w:tblGrid>
      <w:gridCol w:w="8632"/>
      <w:gridCol w:w="610"/>
    </w:tblGrid>
    <w:tr w:rsidR="0096382F" w14:paraId="0D4D56B3" w14:textId="77777777" w:rsidTr="00FC44DA">
      <w:trPr>
        <w:jc w:val="right"/>
      </w:trPr>
      <w:tc>
        <w:tcPr>
          <w:tcW w:w="4670" w:type="pct"/>
        </w:tcPr>
        <w:p w14:paraId="12C002A7" w14:textId="619AE4C8" w:rsidR="0096382F" w:rsidRPr="00E21C1D" w:rsidRDefault="0096382F" w:rsidP="00121D68">
          <w:pPr>
            <w:pStyle w:val="QCAFooterEven"/>
          </w:pPr>
          <w:r w:rsidRPr="00E21C1D">
            <w:t>ANNUAL REPORT 20</w:t>
          </w:r>
          <w:r w:rsidR="00E71A2B">
            <w:t>20</w:t>
          </w:r>
          <w:r w:rsidRPr="00E21C1D">
            <w:t>–</w:t>
          </w:r>
          <w:r>
            <w:t>2</w:t>
          </w:r>
          <w:r w:rsidR="00E71A2B">
            <w:t>1</w:t>
          </w:r>
        </w:p>
      </w:tc>
      <w:tc>
        <w:tcPr>
          <w:tcW w:w="330" w:type="pct"/>
        </w:tcPr>
        <w:p w14:paraId="6B328CB8" w14:textId="0E7AAAA8" w:rsidR="0096382F" w:rsidRPr="00FC44DA" w:rsidRDefault="0096382F" w:rsidP="00DD7F28">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13</w:t>
          </w:r>
          <w:r w:rsidRPr="00DE3F4A">
            <w:rPr>
              <w:color w:val="auto"/>
            </w:rPr>
            <w:fldChar w:fldCharType="end"/>
          </w:r>
        </w:p>
      </w:tc>
    </w:tr>
  </w:tbl>
  <w:p w14:paraId="6B03BB36" w14:textId="77777777" w:rsidR="0096382F" w:rsidRDefault="0096382F" w:rsidP="005E1E02">
    <w:pPr>
      <w:pStyle w:val="QCATableG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230" w:type="pct"/>
      <w:tblLook w:val="04A0" w:firstRow="1" w:lastRow="0" w:firstColumn="1" w:lastColumn="0" w:noHBand="0" w:noVBand="1"/>
    </w:tblPr>
    <w:tblGrid>
      <w:gridCol w:w="600"/>
      <w:gridCol w:w="5396"/>
    </w:tblGrid>
    <w:tr w:rsidR="0096382F" w14:paraId="54183E0D" w14:textId="77777777" w:rsidTr="004E5ADD">
      <w:tc>
        <w:tcPr>
          <w:tcW w:w="500" w:type="pct"/>
        </w:tcPr>
        <w:p w14:paraId="289E9D53" w14:textId="4ACC831F" w:rsidR="0096382F" w:rsidRPr="002614F4" w:rsidRDefault="0096382F" w:rsidP="00856422">
          <w:pPr>
            <w:pStyle w:val="Footer"/>
          </w:pPr>
          <w:r>
            <w:ptab w:relativeTo="margin" w:alignment="left" w:leader="none"/>
          </w: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noProof/>
              <w:color w:val="auto"/>
            </w:rPr>
            <w:t>20</w:t>
          </w:r>
          <w:r w:rsidRPr="00DE3F4A">
            <w:rPr>
              <w:color w:val="auto"/>
            </w:rPr>
            <w:fldChar w:fldCharType="end"/>
          </w:r>
        </w:p>
      </w:tc>
      <w:tc>
        <w:tcPr>
          <w:tcW w:w="4500" w:type="pct"/>
        </w:tcPr>
        <w:p w14:paraId="68064880" w14:textId="77777777" w:rsidR="0096382F" w:rsidRPr="00E21C1D" w:rsidRDefault="0096382F" w:rsidP="00856422">
          <w:pPr>
            <w:pStyle w:val="Footer"/>
          </w:pPr>
          <w:r w:rsidRPr="00E21C1D">
            <w:t>QUEENSLAND COMPETITION AUTHORITY</w:t>
          </w:r>
        </w:p>
      </w:tc>
    </w:tr>
  </w:tbl>
  <w:p w14:paraId="4111539C" w14:textId="77777777" w:rsidR="0096382F" w:rsidRDefault="0096382F" w:rsidP="005E1E02">
    <w:pPr>
      <w:pStyle w:val="QCATableG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Look w:val="04A0" w:firstRow="1" w:lastRow="0" w:firstColumn="1" w:lastColumn="0" w:noHBand="0" w:noVBand="1"/>
    </w:tblPr>
    <w:tblGrid>
      <w:gridCol w:w="6355"/>
      <w:gridCol w:w="449"/>
    </w:tblGrid>
    <w:tr w:rsidR="0096382F" w14:paraId="2E7C6D6D" w14:textId="77777777" w:rsidTr="00FC44DA">
      <w:trPr>
        <w:jc w:val="right"/>
      </w:trPr>
      <w:tc>
        <w:tcPr>
          <w:tcW w:w="4670" w:type="pct"/>
        </w:tcPr>
        <w:p w14:paraId="27AC7A68" w14:textId="4A626B3B" w:rsidR="0096382F" w:rsidRPr="00E21C1D" w:rsidRDefault="0096382F" w:rsidP="00121D68">
          <w:pPr>
            <w:pStyle w:val="QCAFooterEven"/>
          </w:pPr>
          <w:r w:rsidRPr="00E21C1D">
            <w:t>ANNUAL REPORT 20</w:t>
          </w:r>
          <w:r w:rsidR="00E71A2B">
            <w:t>20</w:t>
          </w:r>
          <w:r w:rsidRPr="00E21C1D">
            <w:t>–</w:t>
          </w:r>
          <w:r>
            <w:t>2</w:t>
          </w:r>
          <w:r w:rsidR="00E71A2B">
            <w:t>1</w:t>
          </w:r>
        </w:p>
      </w:tc>
      <w:tc>
        <w:tcPr>
          <w:tcW w:w="330" w:type="pct"/>
        </w:tcPr>
        <w:p w14:paraId="1EE0BB41" w14:textId="1ED60D1B" w:rsidR="0096382F" w:rsidRPr="00FC44DA" w:rsidRDefault="0096382F" w:rsidP="00DD7F28">
          <w:pPr>
            <w:pStyle w:val="NONCAPS-RIGHT"/>
          </w:pPr>
          <w:r w:rsidRPr="00DE3F4A">
            <w:rPr>
              <w:color w:val="auto"/>
            </w:rPr>
            <w:fldChar w:fldCharType="begin"/>
          </w:r>
          <w:r w:rsidRPr="00CD6381">
            <w:rPr>
              <w:color w:val="auto"/>
            </w:rPr>
            <w:instrText xml:space="preserve"> PAGE   \* MERGEFORMAT </w:instrText>
          </w:r>
          <w:r w:rsidRPr="00DE3F4A">
            <w:rPr>
              <w:color w:val="auto"/>
            </w:rPr>
            <w:fldChar w:fldCharType="separate"/>
          </w:r>
          <w:r w:rsidRPr="00CD6381">
            <w:rPr>
              <w:color w:val="auto"/>
            </w:rPr>
            <w:t>17</w:t>
          </w:r>
          <w:r w:rsidRPr="00DE3F4A">
            <w:rPr>
              <w:color w:val="auto"/>
            </w:rPr>
            <w:fldChar w:fldCharType="end"/>
          </w:r>
        </w:p>
      </w:tc>
    </w:tr>
  </w:tbl>
  <w:p w14:paraId="767ECD01" w14:textId="77777777" w:rsidR="0096382F" w:rsidRDefault="0096382F" w:rsidP="005E1E02">
    <w:pPr>
      <w:pStyle w:val="QCATableG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11BE" w14:textId="77777777" w:rsidR="0096382F" w:rsidRDefault="0096382F" w:rsidP="002614F4">
      <w:pPr>
        <w:spacing w:before="0" w:after="0" w:line="240" w:lineRule="auto"/>
      </w:pPr>
      <w:r>
        <w:separator/>
      </w:r>
    </w:p>
  </w:footnote>
  <w:footnote w:type="continuationSeparator" w:id="0">
    <w:p w14:paraId="4181AC4E" w14:textId="77777777" w:rsidR="0096382F" w:rsidRDefault="0096382F" w:rsidP="002614F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D92D" w14:textId="77777777" w:rsidR="0096382F" w:rsidRDefault="0096382F">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D2AD" w14:textId="77777777" w:rsidR="0096382F" w:rsidRDefault="0096382F">
    <w:pPr>
      <w:spacing w:before="0"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3C17" w14:textId="77777777" w:rsidR="0096382F" w:rsidRDefault="0096382F">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6C87" w14:textId="77777777" w:rsidR="0096382F" w:rsidRDefault="0096382F">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693E" w14:textId="77777777" w:rsidR="0096382F" w:rsidRDefault="0096382F">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2A5D" w14:textId="77777777" w:rsidR="0096382F" w:rsidRDefault="0096382F">
    <w:pPr>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F59A" w14:textId="77777777" w:rsidR="0096382F" w:rsidRDefault="0096382F">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86D2" w14:textId="77777777" w:rsidR="0096382F" w:rsidRDefault="0096382F">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D837" w14:textId="77777777" w:rsidR="0096382F" w:rsidRDefault="0096382F">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B2BF" w14:textId="77777777" w:rsidR="00381567" w:rsidRDefault="00381567">
    <w:pPr>
      <w:spacing w:before="0"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D0BF" w14:textId="77777777" w:rsidR="00381567" w:rsidRDefault="00381567">
    <w:pPr>
      <w:spacing w:before="0"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2F5C" w14:textId="77777777" w:rsidR="00381567" w:rsidRDefault="00381567">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FC5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0021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524F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5A1B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525A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6000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D0F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2CB1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16D6288"/>
    <w:multiLevelType w:val="multilevel"/>
    <w:tmpl w:val="54D4AFB8"/>
    <w:styleLink w:val="Style1"/>
    <w:lvl w:ilvl="0">
      <w:start w:val="1"/>
      <w:numFmt w:val="decimal"/>
      <w:lvlText w:val="(%1)"/>
      <w:lvlJc w:val="left"/>
      <w:pPr>
        <w:tabs>
          <w:tab w:val="num" w:pos="1418"/>
        </w:tabs>
        <w:ind w:left="1418" w:hanging="567"/>
      </w:pPr>
      <w:rPr>
        <w:rFonts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upperLetter"/>
      <w:lvlText w:val="(%4)"/>
      <w:lvlJc w:val="left"/>
      <w:pPr>
        <w:tabs>
          <w:tab w:val="num" w:pos="3119"/>
        </w:tabs>
        <w:ind w:left="3119" w:hanging="567"/>
      </w:pPr>
      <w:rPr>
        <w:rFonts w:hint="default"/>
      </w:rPr>
    </w:lvl>
    <w:lvl w:ilvl="4">
      <w:start w:val="1"/>
      <w:numFmt w:val="upperRoman"/>
      <w:lvlText w:val="(%5)"/>
      <w:lvlJc w:val="left"/>
      <w:pPr>
        <w:tabs>
          <w:tab w:val="num" w:pos="3686"/>
        </w:tabs>
        <w:ind w:left="3686" w:hanging="567"/>
      </w:pPr>
      <w:rPr>
        <w:rFonts w:hint="default"/>
      </w:rPr>
    </w:lvl>
    <w:lvl w:ilvl="5">
      <w:start w:val="1"/>
      <w:numFmt w:val="none"/>
      <w:suff w:val="nothing"/>
      <w:lvlText w:val=""/>
      <w:lvlJc w:val="left"/>
      <w:pPr>
        <w:ind w:left="4253" w:hanging="567"/>
      </w:pPr>
      <w:rPr>
        <w:rFonts w:hint="default"/>
      </w:rPr>
    </w:lvl>
    <w:lvl w:ilvl="6">
      <w:start w:val="1"/>
      <w:numFmt w:val="none"/>
      <w:suff w:val="nothing"/>
      <w:lvlText w:val="%7"/>
      <w:lvlJc w:val="left"/>
      <w:pPr>
        <w:ind w:left="4820" w:hanging="567"/>
      </w:pPr>
      <w:rPr>
        <w:rFonts w:hint="default"/>
      </w:rPr>
    </w:lvl>
    <w:lvl w:ilvl="7">
      <w:start w:val="1"/>
      <w:numFmt w:val="none"/>
      <w:suff w:val="nothing"/>
      <w:lvlText w:val="%8"/>
      <w:lvlJc w:val="left"/>
      <w:pPr>
        <w:ind w:left="5387" w:hanging="567"/>
      </w:pPr>
      <w:rPr>
        <w:rFonts w:hint="default"/>
      </w:rPr>
    </w:lvl>
    <w:lvl w:ilvl="8">
      <w:start w:val="1"/>
      <w:numFmt w:val="none"/>
      <w:suff w:val="nothing"/>
      <w:lvlText w:val="%9"/>
      <w:lvlJc w:val="left"/>
      <w:pPr>
        <w:ind w:left="5954" w:hanging="567"/>
      </w:pPr>
      <w:rPr>
        <w:rFonts w:hint="default"/>
      </w:rPr>
    </w:lvl>
  </w:abstractNum>
  <w:abstractNum w:abstractNumId="9" w15:restartNumberingAfterBreak="0">
    <w:nsid w:val="08445BC6"/>
    <w:multiLevelType w:val="hybridMultilevel"/>
    <w:tmpl w:val="1C100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4E455F"/>
    <w:multiLevelType w:val="hybridMultilevel"/>
    <w:tmpl w:val="240084D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D2D18"/>
    <w:multiLevelType w:val="multilevel"/>
    <w:tmpl w:val="04407C02"/>
    <w:styleLink w:val="ListBulletIndent"/>
    <w:lvl w:ilvl="0">
      <w:start w:val="1"/>
      <w:numFmt w:val="bullet"/>
      <w:pStyle w:val="ListBulletIndent0"/>
      <w:lvlText w:val=""/>
      <w:lvlJc w:val="left"/>
      <w:pPr>
        <w:tabs>
          <w:tab w:val="num" w:pos="1134"/>
        </w:tabs>
        <w:ind w:left="1134" w:hanging="283"/>
      </w:pPr>
      <w:rPr>
        <w:rFonts w:ascii="Symbol" w:hAnsi="Symbol" w:hint="default"/>
        <w:color w:val="5B9BD5" w:themeColor="accent1"/>
      </w:rPr>
    </w:lvl>
    <w:lvl w:ilvl="1">
      <w:start w:val="1"/>
      <w:numFmt w:val="bullet"/>
      <w:lvlText w:val=""/>
      <w:lvlJc w:val="left"/>
      <w:pPr>
        <w:tabs>
          <w:tab w:val="num" w:pos="1417"/>
        </w:tabs>
        <w:ind w:left="1418" w:hanging="283"/>
      </w:pPr>
      <w:rPr>
        <w:rFonts w:ascii="Symbol" w:hAnsi="Symbol" w:hint="default"/>
      </w:rPr>
    </w:lvl>
    <w:lvl w:ilvl="2">
      <w:start w:val="1"/>
      <w:numFmt w:val="bullet"/>
      <w:lvlText w:val="○"/>
      <w:lvlJc w:val="left"/>
      <w:pPr>
        <w:tabs>
          <w:tab w:val="num" w:pos="1701"/>
        </w:tabs>
        <w:ind w:left="1702" w:hanging="283"/>
      </w:pPr>
      <w:rPr>
        <w:rFonts w:ascii="Calibri" w:hAnsi="Calibri" w:hint="default"/>
        <w:color w:val="00A1E4"/>
      </w:rPr>
    </w:lvl>
    <w:lvl w:ilvl="3">
      <w:start w:val="1"/>
      <w:numFmt w:val="bullet"/>
      <w:lvlText w:val=""/>
      <w:lvlJc w:val="left"/>
      <w:pPr>
        <w:tabs>
          <w:tab w:val="num" w:pos="1985"/>
        </w:tabs>
        <w:ind w:left="1986" w:hanging="283"/>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114B0C0E"/>
    <w:multiLevelType w:val="multilevel"/>
    <w:tmpl w:val="6D220BCC"/>
    <w:styleLink w:val="ListTableNumber"/>
    <w:lvl w:ilvl="0">
      <w:start w:val="1"/>
      <w:numFmt w:val="lowerLetter"/>
      <w:lvlText w:val="(%1)"/>
      <w:lvlJc w:val="left"/>
      <w:pPr>
        <w:tabs>
          <w:tab w:val="num" w:pos="397"/>
        </w:tabs>
        <w:ind w:left="397" w:hanging="397"/>
      </w:pPr>
      <w:rPr>
        <w:rFonts w:ascii="Calibri" w:hAnsi="Calibri" w:hint="default"/>
        <w:b w:val="0"/>
        <w:bCs w:val="0"/>
        <w:i w:val="0"/>
        <w:iCs w:val="0"/>
        <w:caps w:val="0"/>
        <w:smallCaps w:val="0"/>
        <w:strike w:val="0"/>
        <w:dstrike w:val="0"/>
        <w:noProof w:val="0"/>
        <w:vanish w:val="0"/>
        <w:color w:val="000000"/>
        <w:spacing w:val="0"/>
        <w:kern w:val="0"/>
        <w:position w:val="0"/>
        <w:sz w:val="18"/>
        <w:u w:val="none"/>
        <w:vertAlign w:val="baseline"/>
        <w:em w:val="none"/>
      </w:rPr>
    </w:lvl>
    <w:lvl w:ilvl="1">
      <w:start w:val="1"/>
      <w:numFmt w:val="lowerRoman"/>
      <w:lvlText w:val="(%2)"/>
      <w:lvlJc w:val="left"/>
      <w:pPr>
        <w:tabs>
          <w:tab w:val="num" w:pos="794"/>
        </w:tabs>
        <w:ind w:left="794" w:hanging="397"/>
      </w:pPr>
      <w:rPr>
        <w:rFonts w:ascii="Calibri" w:hAnsi="Calibri" w:hint="default"/>
      </w:rPr>
    </w:lvl>
    <w:lvl w:ilvl="2">
      <w:start w:val="1"/>
      <w:numFmt w:val="none"/>
      <w:suff w:val="nothing"/>
      <w:lvlText w:val=""/>
      <w:lvlJc w:val="righ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3" w15:restartNumberingAfterBreak="0">
    <w:nsid w:val="13FC7105"/>
    <w:multiLevelType w:val="multilevel"/>
    <w:tmpl w:val="ECF29196"/>
    <w:styleLink w:val="ListAlphaIndent"/>
    <w:lvl w:ilvl="0">
      <w:start w:val="1"/>
      <w:numFmt w:val="lowerLetter"/>
      <w:pStyle w:val="ListAlphaIndent0"/>
      <w:lvlText w:val="(%1)"/>
      <w:lvlJc w:val="left"/>
      <w:pPr>
        <w:tabs>
          <w:tab w:val="num" w:pos="1418"/>
        </w:tabs>
        <w:ind w:left="1418" w:hanging="567"/>
      </w:pPr>
      <w:rPr>
        <w:rFonts w:hint="default"/>
      </w:rPr>
    </w:lvl>
    <w:lvl w:ilvl="1">
      <w:start w:val="1"/>
      <w:numFmt w:val="lowerRoman"/>
      <w:lvlText w:val="(%2)"/>
      <w:lvlJc w:val="left"/>
      <w:pPr>
        <w:tabs>
          <w:tab w:val="num" w:pos="1985"/>
        </w:tabs>
        <w:ind w:left="1985" w:hanging="567"/>
      </w:pPr>
      <w:rPr>
        <w:rFonts w:hint="default"/>
      </w:rPr>
    </w:lvl>
    <w:lvl w:ilvl="2">
      <w:start w:val="1"/>
      <w:numFmt w:val="decimal"/>
      <w:lvlText w:val="(%3)"/>
      <w:lvlJc w:val="left"/>
      <w:pPr>
        <w:tabs>
          <w:tab w:val="num" w:pos="2552"/>
        </w:tabs>
        <w:ind w:left="2552" w:hanging="567"/>
      </w:pPr>
      <w:rPr>
        <w:rFonts w:hint="default"/>
      </w:rPr>
    </w:lvl>
    <w:lvl w:ilvl="3">
      <w:start w:val="1"/>
      <w:numFmt w:val="upperLetter"/>
      <w:lvlText w:val="(%4)"/>
      <w:lvlJc w:val="left"/>
      <w:pPr>
        <w:tabs>
          <w:tab w:val="num" w:pos="3119"/>
        </w:tabs>
        <w:ind w:left="3119" w:hanging="567"/>
      </w:pPr>
      <w:rPr>
        <w:rFonts w:hint="default"/>
      </w:rPr>
    </w:lvl>
    <w:lvl w:ilvl="4">
      <w:start w:val="1"/>
      <w:numFmt w:val="upperRoman"/>
      <w:lvlText w:val="(%5)"/>
      <w:lvlJc w:val="left"/>
      <w:pPr>
        <w:tabs>
          <w:tab w:val="num" w:pos="3686"/>
        </w:tabs>
        <w:ind w:left="3686"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40C570F"/>
    <w:multiLevelType w:val="multilevel"/>
    <w:tmpl w:val="E146F73A"/>
    <w:styleLink w:val="ListAppendix"/>
    <w:lvl w:ilvl="0">
      <w:start w:val="1"/>
      <w:numFmt w:val="upperLetter"/>
      <w:suff w:val="nothing"/>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71775D4"/>
    <w:multiLevelType w:val="hybridMultilevel"/>
    <w:tmpl w:val="1E0AE0CE"/>
    <w:lvl w:ilvl="0" w:tplc="0C090005">
      <w:start w:val="1"/>
      <w:numFmt w:val="bullet"/>
      <w:lvlText w:val=""/>
      <w:lvlJc w:val="left"/>
      <w:pPr>
        <w:ind w:left="720" w:hanging="360"/>
      </w:pPr>
      <w:rPr>
        <w:rFonts w:ascii="Wingdings" w:hAnsi="Wingdings" w:hint="default"/>
      </w:rPr>
    </w:lvl>
    <w:lvl w:ilvl="1" w:tplc="2DB874B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17877"/>
    <w:multiLevelType w:val="multilevel"/>
    <w:tmpl w:val="2F621EA0"/>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17" w15:restartNumberingAfterBreak="0">
    <w:nsid w:val="23BE5901"/>
    <w:multiLevelType w:val="multilevel"/>
    <w:tmpl w:val="BD643F4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val="0"/>
        <w:i w:val="0"/>
        <w:sz w:val="24"/>
      </w:rPr>
    </w:lvl>
    <w:lvl w:ilvl="2">
      <w:start w:val="1"/>
      <w:numFmt w:val="decimal"/>
      <w:lvlText w:val="%1.%2.%3"/>
      <w:lvlJc w:val="left"/>
      <w:pPr>
        <w:tabs>
          <w:tab w:val="num" w:pos="851"/>
        </w:tabs>
        <w:ind w:left="851" w:hanging="851"/>
      </w:pPr>
      <w:rPr>
        <w:rFonts w:hint="default"/>
        <w:b w:val="0"/>
        <w:i w:val="0"/>
      </w:rPr>
    </w:lvl>
    <w:lvl w:ilvl="3">
      <w:start w:val="1"/>
      <w:numFmt w:val="none"/>
      <w:pStyle w:val="NoHeading4"/>
      <w:suff w:val="nothing"/>
      <w:lvlText w:val=""/>
      <w:lvlJc w:val="left"/>
      <w:pPr>
        <w:ind w:left="851" w:firstLine="0"/>
      </w:pPr>
      <w:rPr>
        <w:rFonts w:hint="default"/>
      </w:rPr>
    </w:lvl>
    <w:lvl w:ilvl="4">
      <w:start w:val="1"/>
      <w:numFmt w:val="none"/>
      <w:pStyle w:val="NoHeading5"/>
      <w:suff w:val="nothing"/>
      <w:lvlText w:val=""/>
      <w:lvlJc w:val="left"/>
      <w:pPr>
        <w:ind w:left="851" w:firstLine="0"/>
      </w:pPr>
      <w:rPr>
        <w:rFonts w:hint="default"/>
      </w:rPr>
    </w:lvl>
    <w:lvl w:ilvl="5">
      <w:start w:val="1"/>
      <w:numFmt w:val="none"/>
      <w:pStyle w:val="NoHeading6"/>
      <w:suff w:val="nothing"/>
      <w:lvlText w:val=""/>
      <w:lvlJc w:val="left"/>
      <w:pPr>
        <w:ind w:left="851" w:firstLine="0"/>
      </w:pPr>
      <w:rPr>
        <w:rFonts w:hint="default"/>
      </w:rPr>
    </w:lvl>
    <w:lvl w:ilvl="6">
      <w:start w:val="1"/>
      <w:numFmt w:val="decimal"/>
      <w:lvlRestart w:val="1"/>
      <w:suff w:val="space"/>
      <w:lvlText w:val="Figure %1.%7"/>
      <w:lvlJc w:val="left"/>
      <w:pPr>
        <w:ind w:left="0" w:firstLine="0"/>
      </w:pPr>
      <w:rPr>
        <w:rFonts w:hint="default"/>
      </w:rPr>
    </w:lvl>
    <w:lvl w:ilvl="7">
      <w:start w:val="1"/>
      <w:numFmt w:val="decimal"/>
      <w:lvlText w:val="%1.%8"/>
      <w:lvlJc w:val="left"/>
      <w:pPr>
        <w:tabs>
          <w:tab w:val="num" w:pos="567"/>
        </w:tabs>
        <w:ind w:left="567" w:hanging="567"/>
      </w:pPr>
      <w:rPr>
        <w:rFonts w:ascii="Calibri" w:hAnsi="Calibri" w:hint="default"/>
        <w:b w:val="0"/>
        <w:i w:val="0"/>
        <w:sz w:val="21"/>
      </w:rPr>
    </w:lvl>
    <w:lvl w:ilvl="8">
      <w:start w:val="1"/>
      <w:numFmt w:val="none"/>
      <w:suff w:val="nothing"/>
      <w:lvlText w:val=""/>
      <w:lvlJc w:val="left"/>
      <w:pPr>
        <w:ind w:left="0" w:firstLine="0"/>
      </w:pPr>
      <w:rPr>
        <w:rFonts w:hint="default"/>
      </w:rPr>
    </w:lvl>
  </w:abstractNum>
  <w:abstractNum w:abstractNumId="18" w15:restartNumberingAfterBreak="0">
    <w:nsid w:val="26FB2EB1"/>
    <w:multiLevelType w:val="hybridMultilevel"/>
    <w:tmpl w:val="A22AA39C"/>
    <w:lvl w:ilvl="0" w:tplc="E10E59D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6C7132"/>
    <w:multiLevelType w:val="multilevel"/>
    <w:tmpl w:val="264C7ADE"/>
    <w:styleLink w:val="ListQuotationAlpha"/>
    <w:lvl w:ilvl="0">
      <w:start w:val="1"/>
      <w:numFmt w:val="lowerLetter"/>
      <w:pStyle w:val="QuotationListAlpha"/>
      <w:lvlText w:val="(%1)"/>
      <w:lvlJc w:val="left"/>
      <w:pPr>
        <w:tabs>
          <w:tab w:val="num" w:pos="1985"/>
        </w:tabs>
        <w:ind w:left="1985" w:hanging="567"/>
      </w:pPr>
      <w:rPr>
        <w:rFonts w:hint="default"/>
      </w:rPr>
    </w:lvl>
    <w:lvl w:ilvl="1">
      <w:start w:val="1"/>
      <w:numFmt w:val="lowerRoman"/>
      <w:lvlText w:val="(%2)"/>
      <w:lvlJc w:val="left"/>
      <w:pPr>
        <w:tabs>
          <w:tab w:val="num" w:pos="2552"/>
        </w:tabs>
        <w:ind w:left="2552" w:hanging="567"/>
      </w:pPr>
      <w:rPr>
        <w:rFonts w:hint="default"/>
      </w:rPr>
    </w:lvl>
    <w:lvl w:ilvl="2">
      <w:start w:val="1"/>
      <w:numFmt w:val="none"/>
      <w:lvlText w:val=""/>
      <w:lvlJc w:val="righ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righ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right"/>
      <w:pPr>
        <w:tabs>
          <w:tab w:val="num" w:pos="0"/>
        </w:tabs>
        <w:ind w:left="0" w:firstLine="0"/>
      </w:pPr>
      <w:rPr>
        <w:rFonts w:hint="default"/>
      </w:rPr>
    </w:lvl>
  </w:abstractNum>
  <w:abstractNum w:abstractNumId="20" w15:restartNumberingAfterBreak="0">
    <w:nsid w:val="2AF235AB"/>
    <w:multiLevelType w:val="multilevel"/>
    <w:tmpl w:val="70609492"/>
    <w:styleLink w:val="ListHeadings"/>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851"/>
        </w:tabs>
        <w:ind w:left="851" w:hanging="851"/>
      </w:pPr>
      <w:rPr>
        <w:rFonts w:hint="default"/>
        <w:b w:val="0"/>
        <w:i w:val="0"/>
        <w:sz w:val="24"/>
      </w:rPr>
    </w:lvl>
    <w:lvl w:ilvl="2">
      <w:start w:val="1"/>
      <w:numFmt w:val="decimal"/>
      <w:pStyle w:val="NoHeading3"/>
      <w:lvlText w:val="%1.%2.%3"/>
      <w:lvlJc w:val="left"/>
      <w:pPr>
        <w:tabs>
          <w:tab w:val="num" w:pos="851"/>
        </w:tabs>
        <w:ind w:left="851" w:hanging="851"/>
      </w:pPr>
      <w:rPr>
        <w:rFonts w:hint="default"/>
        <w:b w:val="0"/>
        <w:i w:val="0"/>
      </w:rPr>
    </w:lvl>
    <w:lvl w:ilvl="3">
      <w:start w:val="1"/>
      <w:numFmt w:val="decimal"/>
      <w:lvlRestart w:val="1"/>
      <w:lvlText w:val="%1.%4"/>
      <w:lvlJc w:val="left"/>
      <w:pPr>
        <w:tabs>
          <w:tab w:val="num" w:pos="567"/>
        </w:tabs>
        <w:ind w:left="567" w:hanging="567"/>
      </w:pPr>
      <w:rPr>
        <w:rFonts w:hint="default"/>
        <w:b/>
        <w:i w:val="0"/>
      </w:rPr>
    </w:lvl>
    <w:lvl w:ilvl="4">
      <w:start w:val="1"/>
      <w:numFmt w:val="lowerLetter"/>
      <w:pStyle w:val="DecisionList1"/>
      <w:lvlText w:val="(%5)"/>
      <w:lvlJc w:val="left"/>
      <w:pPr>
        <w:tabs>
          <w:tab w:val="num" w:pos="1134"/>
        </w:tabs>
        <w:ind w:left="1134" w:hanging="567"/>
      </w:pPr>
      <w:rPr>
        <w:rFonts w:hint="default"/>
      </w:rPr>
    </w:lvl>
    <w:lvl w:ilvl="5">
      <w:start w:val="1"/>
      <w:numFmt w:val="lowerRoman"/>
      <w:pStyle w:val="DecisionList2"/>
      <w:lvlText w:val="(%6)"/>
      <w:lvlJc w:val="left"/>
      <w:pPr>
        <w:tabs>
          <w:tab w:val="num" w:pos="1701"/>
        </w:tabs>
        <w:ind w:left="1701" w:hanging="567"/>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567" w:hanging="567"/>
      </w:pPr>
      <w:rPr>
        <w:rFonts w:ascii="Calibri" w:hAnsi="Calibri" w:hint="default"/>
        <w:b w:val="0"/>
        <w:i w:val="0"/>
        <w:sz w:val="21"/>
      </w:rPr>
    </w:lvl>
    <w:lvl w:ilvl="8">
      <w:start w:val="1"/>
      <w:numFmt w:val="none"/>
      <w:suff w:val="nothing"/>
      <w:lvlText w:val=""/>
      <w:lvlJc w:val="left"/>
      <w:pPr>
        <w:ind w:left="0" w:firstLine="0"/>
      </w:pPr>
      <w:rPr>
        <w:rFonts w:hint="default"/>
      </w:rPr>
    </w:lvl>
  </w:abstractNum>
  <w:abstractNum w:abstractNumId="21" w15:restartNumberingAfterBreak="0">
    <w:nsid w:val="2CB26D24"/>
    <w:multiLevelType w:val="multilevel"/>
    <w:tmpl w:val="B602F170"/>
    <w:lvl w:ilvl="0">
      <w:start w:val="1"/>
      <w:numFmt w:val="bullet"/>
      <w:pStyle w:val="ListBullet"/>
      <w:lvlText w:val=""/>
      <w:lvlJc w:val="left"/>
      <w:pPr>
        <w:ind w:left="928" w:hanging="360"/>
      </w:pPr>
      <w:rPr>
        <w:rFonts w:ascii="Wingdings" w:hAnsi="Wingdings" w:hint="default"/>
        <w:color w:val="auto"/>
      </w:rPr>
    </w:lvl>
    <w:lvl w:ilvl="1">
      <w:start w:val="1"/>
      <w:numFmt w:val="bullet"/>
      <w:lvlText w:val=""/>
      <w:lvlJc w:val="left"/>
      <w:pPr>
        <w:tabs>
          <w:tab w:val="num" w:pos="1135"/>
        </w:tabs>
        <w:ind w:left="1136" w:hanging="284"/>
      </w:pPr>
      <w:rPr>
        <w:rFonts w:ascii="Symbol" w:hAnsi="Symbol" w:hint="default"/>
        <w:color w:val="5B9BD5" w:themeColor="accent1"/>
      </w:rPr>
    </w:lvl>
    <w:lvl w:ilvl="2">
      <w:start w:val="1"/>
      <w:numFmt w:val="bullet"/>
      <w:lvlText w:val=""/>
      <w:lvlJc w:val="left"/>
      <w:pPr>
        <w:tabs>
          <w:tab w:val="num" w:pos="1419"/>
        </w:tabs>
        <w:ind w:left="1420" w:hanging="284"/>
      </w:pPr>
      <w:rPr>
        <w:rFonts w:ascii="Symbol" w:hAnsi="Symbol" w:hint="default"/>
        <w:color w:val="5B9BD5" w:themeColor="accent1"/>
      </w:rPr>
    </w:lvl>
    <w:lvl w:ilvl="3">
      <w:start w:val="1"/>
      <w:numFmt w:val="bullet"/>
      <w:lvlText w:val=""/>
      <w:lvlJc w:val="left"/>
      <w:pPr>
        <w:tabs>
          <w:tab w:val="num" w:pos="1702"/>
        </w:tabs>
        <w:ind w:left="1704" w:hanging="284"/>
      </w:pPr>
      <w:rPr>
        <w:rFonts w:ascii="Symbol" w:hAnsi="Symbol" w:hint="default"/>
        <w:color w:val="5B9BD5" w:themeColor="accent1"/>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none"/>
      <w:suff w:val="nothing"/>
      <w:lvlText w:val=""/>
      <w:lvlJc w:val="left"/>
      <w:pPr>
        <w:ind w:left="568" w:firstLine="0"/>
      </w:pPr>
      <w:rPr>
        <w:rFonts w:hint="default"/>
      </w:rPr>
    </w:lvl>
    <w:lvl w:ilvl="7">
      <w:start w:val="1"/>
      <w:numFmt w:val="none"/>
      <w:suff w:val="nothing"/>
      <w:lvlText w:val=""/>
      <w:lvlJc w:val="left"/>
      <w:pPr>
        <w:ind w:left="568" w:firstLine="0"/>
      </w:pPr>
      <w:rPr>
        <w:rFonts w:hint="default"/>
      </w:rPr>
    </w:lvl>
    <w:lvl w:ilvl="8">
      <w:start w:val="1"/>
      <w:numFmt w:val="none"/>
      <w:suff w:val="nothing"/>
      <w:lvlText w:val=""/>
      <w:lvlJc w:val="left"/>
      <w:pPr>
        <w:ind w:left="568" w:firstLine="0"/>
      </w:pPr>
      <w:rPr>
        <w:rFonts w:hint="default"/>
      </w:rPr>
    </w:lvl>
  </w:abstractNum>
  <w:abstractNum w:abstractNumId="22" w15:restartNumberingAfterBreak="0">
    <w:nsid w:val="2D8F0F26"/>
    <w:multiLevelType w:val="multilevel"/>
    <w:tmpl w:val="04407C02"/>
    <w:numStyleLink w:val="ListBulletIndent"/>
  </w:abstractNum>
  <w:abstractNum w:abstractNumId="23" w15:restartNumberingAfterBreak="0">
    <w:nsid w:val="403A290D"/>
    <w:multiLevelType w:val="multilevel"/>
    <w:tmpl w:val="97029A5E"/>
    <w:styleLink w:val="ListTableHeading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97"/>
        </w:tabs>
        <w:ind w:left="397" w:hanging="397"/>
      </w:pPr>
      <w:rPr>
        <w:rFonts w:hint="default"/>
      </w:rPr>
    </w:lvl>
    <w:lvl w:ilvl="2">
      <w:start w:val="1"/>
      <w:numFmt w:val="lowerRoman"/>
      <w:lvlText w:val="(%3)"/>
      <w:lvlJc w:val="right"/>
      <w:pPr>
        <w:tabs>
          <w:tab w:val="num" w:pos="794"/>
        </w:tabs>
        <w:ind w:left="794"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4" w15:restartNumberingAfterBreak="0">
    <w:nsid w:val="40B47F61"/>
    <w:multiLevelType w:val="multilevel"/>
    <w:tmpl w:val="E1762CBE"/>
    <w:lvl w:ilvl="0">
      <w:start w:val="1"/>
      <w:numFmt w:val="bullet"/>
      <w:lvlText w:val=""/>
      <w:lvlJc w:val="left"/>
      <w:pPr>
        <w:tabs>
          <w:tab w:val="num" w:pos="568"/>
        </w:tabs>
        <w:ind w:left="568" w:hanging="284"/>
      </w:pPr>
      <w:rPr>
        <w:rFonts w:ascii="Symbol" w:hAnsi="Symbol" w:hint="default"/>
        <w:color w:val="5B9BD5" w:themeColor="accent1"/>
      </w:rPr>
    </w:lvl>
    <w:lvl w:ilvl="1">
      <w:start w:val="1"/>
      <w:numFmt w:val="bullet"/>
      <w:lvlText w:val=""/>
      <w:lvlJc w:val="left"/>
      <w:pPr>
        <w:tabs>
          <w:tab w:val="num" w:pos="851"/>
        </w:tabs>
        <w:ind w:left="852" w:hanging="284"/>
      </w:pPr>
      <w:rPr>
        <w:rFonts w:ascii="Symbol" w:hAnsi="Symbol" w:hint="default"/>
        <w:color w:val="auto"/>
      </w:rPr>
    </w:lvl>
    <w:lvl w:ilvl="2">
      <w:start w:val="1"/>
      <w:numFmt w:val="bullet"/>
      <w:lvlText w:val="○"/>
      <w:lvlJc w:val="left"/>
      <w:pPr>
        <w:tabs>
          <w:tab w:val="num" w:pos="1135"/>
        </w:tabs>
        <w:ind w:left="1136" w:hanging="284"/>
      </w:pPr>
      <w:rPr>
        <w:rFonts w:ascii="Calibri" w:hAnsi="Calibri" w:hint="default"/>
        <w:color w:val="00A1E4"/>
      </w:rPr>
    </w:lvl>
    <w:lvl w:ilvl="3">
      <w:start w:val="1"/>
      <w:numFmt w:val="bullet"/>
      <w:lvlText w:val=""/>
      <w:lvlJc w:val="left"/>
      <w:pPr>
        <w:tabs>
          <w:tab w:val="num" w:pos="1418"/>
        </w:tabs>
        <w:ind w:left="1420" w:hanging="284"/>
      </w:pPr>
      <w:rPr>
        <w:rFonts w:ascii="Symbol" w:hAnsi="Symbol"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410D5C88"/>
    <w:multiLevelType w:val="multilevel"/>
    <w:tmpl w:val="00203D3A"/>
    <w:styleLink w:val="ListNumberIndent"/>
    <w:lvl w:ilvl="0">
      <w:start w:val="1"/>
      <w:numFmt w:val="decimal"/>
      <w:pStyle w:val="ListNumberIndent0"/>
      <w:lvlText w:val="(%1)"/>
      <w:lvlJc w:val="left"/>
      <w:pPr>
        <w:tabs>
          <w:tab w:val="num" w:pos="1418"/>
        </w:tabs>
        <w:ind w:left="1418" w:hanging="567"/>
      </w:pPr>
      <w:rPr>
        <w:rFonts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upperLetter"/>
      <w:lvlText w:val="(%4)"/>
      <w:lvlJc w:val="left"/>
      <w:pPr>
        <w:tabs>
          <w:tab w:val="num" w:pos="3119"/>
        </w:tabs>
        <w:ind w:left="3119" w:hanging="567"/>
      </w:pPr>
      <w:rPr>
        <w:rFonts w:hint="default"/>
      </w:rPr>
    </w:lvl>
    <w:lvl w:ilvl="4">
      <w:start w:val="1"/>
      <w:numFmt w:val="upperRoman"/>
      <w:lvlText w:val="(%5)"/>
      <w:lvlJc w:val="left"/>
      <w:pPr>
        <w:tabs>
          <w:tab w:val="num" w:pos="3402"/>
        </w:tabs>
        <w:ind w:left="3402"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417855D7"/>
    <w:multiLevelType w:val="multilevel"/>
    <w:tmpl w:val="EFC60486"/>
    <w:styleLink w:val="ListQuotationNumber"/>
    <w:lvl w:ilvl="0">
      <w:start w:val="1"/>
      <w:numFmt w:val="decimal"/>
      <w:pStyle w:val="QuotationListNumber"/>
      <w:lvlText w:val="(%1)"/>
      <w:lvlJc w:val="left"/>
      <w:pPr>
        <w:tabs>
          <w:tab w:val="num" w:pos="1985"/>
        </w:tabs>
        <w:ind w:left="1985" w:hanging="567"/>
      </w:pPr>
      <w:rPr>
        <w:rFonts w:hint="default"/>
      </w:rPr>
    </w:lvl>
    <w:lvl w:ilvl="1">
      <w:start w:val="1"/>
      <w:numFmt w:val="lowerLetter"/>
      <w:lvlText w:val="(%2)"/>
      <w:lvlJc w:val="left"/>
      <w:pPr>
        <w:tabs>
          <w:tab w:val="num" w:pos="2552"/>
        </w:tabs>
        <w:ind w:left="2552" w:hanging="567"/>
      </w:pPr>
      <w:rPr>
        <w:rFonts w:hint="default"/>
      </w:rPr>
    </w:lvl>
    <w:lvl w:ilvl="2">
      <w:start w:val="1"/>
      <w:numFmt w:val="none"/>
      <w:lvlText w:val=""/>
      <w:lvlJc w:val="righ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righ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right"/>
      <w:pPr>
        <w:tabs>
          <w:tab w:val="num" w:pos="0"/>
        </w:tabs>
        <w:ind w:left="0" w:firstLine="0"/>
      </w:pPr>
      <w:rPr>
        <w:rFonts w:hint="default"/>
      </w:rPr>
    </w:lvl>
  </w:abstractNum>
  <w:abstractNum w:abstractNumId="27" w15:restartNumberingAfterBreak="0">
    <w:nsid w:val="43E557F1"/>
    <w:multiLevelType w:val="multilevel"/>
    <w:tmpl w:val="3E5CBA2A"/>
    <w:styleLink w:val="Appendix"/>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9" w15:restartNumberingAfterBreak="0">
    <w:nsid w:val="46660847"/>
    <w:multiLevelType w:val="hybridMultilevel"/>
    <w:tmpl w:val="40D220E4"/>
    <w:lvl w:ilvl="0" w:tplc="42365CD8">
      <w:start w:val="1"/>
      <w:numFmt w:val="bullet"/>
      <w:pStyle w:val="QCABullet"/>
      <w:lvlText w:val=""/>
      <w:lvlJc w:val="left"/>
      <w:pPr>
        <w:ind w:left="502" w:hanging="360"/>
      </w:pPr>
      <w:rPr>
        <w:rFonts w:ascii="Wingdings" w:hAnsi="Wingdings" w:hint="default"/>
        <w:color w:val="auto"/>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0" w15:restartNumberingAfterBreak="0">
    <w:nsid w:val="48757F57"/>
    <w:multiLevelType w:val="multilevel"/>
    <w:tmpl w:val="C19CFA20"/>
    <w:styleLink w:val="ListNumber"/>
    <w:lvl w:ilvl="0">
      <w:start w:val="1"/>
      <w:numFmt w:val="decimal"/>
      <w:pStyle w:val="ListNumber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1" w15:restartNumberingAfterBreak="0">
    <w:nsid w:val="4BBD6654"/>
    <w:multiLevelType w:val="multilevel"/>
    <w:tmpl w:val="629A2194"/>
    <w:lvl w:ilvl="0">
      <w:start w:val="1"/>
      <w:numFmt w:val="decimal"/>
      <w:pStyle w:val="DecisionList"/>
      <w:lvlText w:val="(%1)"/>
      <w:lvlJc w:val="left"/>
      <w:pPr>
        <w:ind w:left="567" w:hanging="567"/>
      </w:pPr>
      <w:rPr>
        <w:rFonts w:hint="default"/>
      </w:rPr>
    </w:lvl>
    <w:lvl w:ilvl="1">
      <w:start w:val="1"/>
      <w:numFmt w:val="lowerLetter"/>
      <w:lvlText w:val="%2."/>
      <w:lvlJc w:val="left"/>
      <w:pPr>
        <w:ind w:left="1644" w:hanging="567"/>
      </w:pPr>
      <w:rPr>
        <w:rFonts w:hint="default"/>
      </w:rPr>
    </w:lvl>
    <w:lvl w:ilvl="2">
      <w:start w:val="1"/>
      <w:numFmt w:val="lowerRoman"/>
      <w:lvlText w:val="%3."/>
      <w:lvlJc w:val="right"/>
      <w:pPr>
        <w:ind w:left="2721" w:hanging="567"/>
      </w:pPr>
      <w:rPr>
        <w:rFonts w:hint="default"/>
      </w:rPr>
    </w:lvl>
    <w:lvl w:ilvl="3">
      <w:start w:val="1"/>
      <w:numFmt w:val="decimal"/>
      <w:lvlText w:val="%4."/>
      <w:lvlJc w:val="left"/>
      <w:pPr>
        <w:ind w:left="3798" w:hanging="567"/>
      </w:pPr>
      <w:rPr>
        <w:rFonts w:hint="default"/>
      </w:rPr>
    </w:lvl>
    <w:lvl w:ilvl="4">
      <w:start w:val="1"/>
      <w:numFmt w:val="lowerLetter"/>
      <w:lvlText w:val="%5."/>
      <w:lvlJc w:val="left"/>
      <w:pPr>
        <w:ind w:left="4875" w:hanging="567"/>
      </w:pPr>
      <w:rPr>
        <w:rFonts w:hint="default"/>
      </w:rPr>
    </w:lvl>
    <w:lvl w:ilvl="5">
      <w:start w:val="1"/>
      <w:numFmt w:val="lowerRoman"/>
      <w:lvlText w:val="%6."/>
      <w:lvlJc w:val="right"/>
      <w:pPr>
        <w:ind w:left="5952" w:hanging="567"/>
      </w:pPr>
      <w:rPr>
        <w:rFonts w:hint="default"/>
      </w:rPr>
    </w:lvl>
    <w:lvl w:ilvl="6">
      <w:start w:val="1"/>
      <w:numFmt w:val="decimal"/>
      <w:lvlText w:val="%7."/>
      <w:lvlJc w:val="left"/>
      <w:pPr>
        <w:ind w:left="7029" w:hanging="567"/>
      </w:pPr>
      <w:rPr>
        <w:rFonts w:hint="default"/>
      </w:rPr>
    </w:lvl>
    <w:lvl w:ilvl="7">
      <w:start w:val="1"/>
      <w:numFmt w:val="lowerLetter"/>
      <w:lvlText w:val="%8."/>
      <w:lvlJc w:val="left"/>
      <w:pPr>
        <w:ind w:left="8106" w:hanging="567"/>
      </w:pPr>
      <w:rPr>
        <w:rFonts w:hint="default"/>
      </w:rPr>
    </w:lvl>
    <w:lvl w:ilvl="8">
      <w:start w:val="1"/>
      <w:numFmt w:val="lowerRoman"/>
      <w:lvlText w:val="%9."/>
      <w:lvlJc w:val="right"/>
      <w:pPr>
        <w:ind w:left="9183" w:hanging="567"/>
      </w:pPr>
      <w:rPr>
        <w:rFonts w:hint="default"/>
      </w:rPr>
    </w:lvl>
  </w:abstractNum>
  <w:abstractNum w:abstractNumId="32" w15:restartNumberingAfterBreak="0">
    <w:nsid w:val="4ED57F52"/>
    <w:multiLevelType w:val="multilevel"/>
    <w:tmpl w:val="2F621EA0"/>
    <w:styleLink w:val="ListParagraph"/>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33" w15:restartNumberingAfterBreak="0">
    <w:nsid w:val="4F2F113D"/>
    <w:multiLevelType w:val="multilevel"/>
    <w:tmpl w:val="97029A5E"/>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97"/>
        </w:tabs>
        <w:ind w:left="397" w:hanging="397"/>
      </w:pPr>
      <w:rPr>
        <w:rFonts w:hint="default"/>
      </w:rPr>
    </w:lvl>
    <w:lvl w:ilvl="2">
      <w:start w:val="1"/>
      <w:numFmt w:val="lowerRoman"/>
      <w:lvlText w:val="(%3)"/>
      <w:lvlJc w:val="right"/>
      <w:pPr>
        <w:tabs>
          <w:tab w:val="num" w:pos="794"/>
        </w:tabs>
        <w:ind w:left="794"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34" w15:restartNumberingAfterBreak="0">
    <w:nsid w:val="54700FB6"/>
    <w:multiLevelType w:val="hybridMultilevel"/>
    <w:tmpl w:val="AD0889AA"/>
    <w:lvl w:ilvl="0" w:tplc="E57AF766">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DA61D5"/>
    <w:multiLevelType w:val="multilevel"/>
    <w:tmpl w:val="6D7824B2"/>
    <w:styleLink w:val="ListAlpha"/>
    <w:lvl w:ilvl="0">
      <w:start w:val="1"/>
      <w:numFmt w:val="lowerLetter"/>
      <w:pStyle w:val="ListAlpha0"/>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6" w15:restartNumberingAfterBreak="0">
    <w:nsid w:val="63DC3CD5"/>
    <w:multiLevelType w:val="hybridMultilevel"/>
    <w:tmpl w:val="56B86D48"/>
    <w:styleLink w:val="ListBullets"/>
    <w:lvl w:ilvl="0" w:tplc="AA1ED102">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Symbol"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Symbol"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Symbol" w:hint="default"/>
      </w:rPr>
    </w:lvl>
    <w:lvl w:ilvl="8" w:tplc="0C09001B" w:tentative="1">
      <w:start w:val="1"/>
      <w:numFmt w:val="bullet"/>
      <w:lvlText w:val=""/>
      <w:lvlJc w:val="left"/>
      <w:pPr>
        <w:ind w:left="6120" w:hanging="360"/>
      </w:pPr>
      <w:rPr>
        <w:rFonts w:ascii="Wingdings" w:hAnsi="Wingdings" w:hint="default"/>
      </w:rPr>
    </w:lvl>
  </w:abstractNum>
  <w:abstractNum w:abstractNumId="37" w15:restartNumberingAfterBreak="0">
    <w:nsid w:val="6F2B1FC6"/>
    <w:multiLevelType w:val="hybridMultilevel"/>
    <w:tmpl w:val="F5381D3E"/>
    <w:lvl w:ilvl="0" w:tplc="70A85B12">
      <w:start w:val="1"/>
      <w:numFmt w:val="lowerLetter"/>
      <w:pStyle w:val="TableList"/>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18"/>
        <w:u w:val="none"/>
        <w:vertAlign w:val="baseline"/>
        <w:em w:val="none"/>
      </w:rPr>
    </w:lvl>
    <w:lvl w:ilvl="1" w:tplc="5F2CB644" w:tentative="1">
      <w:start w:val="1"/>
      <w:numFmt w:val="lowerLetter"/>
      <w:lvlText w:val="%2."/>
      <w:lvlJc w:val="left"/>
      <w:pPr>
        <w:ind w:left="1440" w:hanging="360"/>
      </w:pPr>
    </w:lvl>
    <w:lvl w:ilvl="2" w:tplc="D7068F58" w:tentative="1">
      <w:start w:val="1"/>
      <w:numFmt w:val="lowerRoman"/>
      <w:lvlText w:val="%3."/>
      <w:lvlJc w:val="right"/>
      <w:pPr>
        <w:ind w:left="2160" w:hanging="180"/>
      </w:pPr>
    </w:lvl>
    <w:lvl w:ilvl="3" w:tplc="8990BDAC" w:tentative="1">
      <w:start w:val="1"/>
      <w:numFmt w:val="decimal"/>
      <w:lvlText w:val="%4."/>
      <w:lvlJc w:val="left"/>
      <w:pPr>
        <w:ind w:left="2880" w:hanging="360"/>
      </w:pPr>
    </w:lvl>
    <w:lvl w:ilvl="4" w:tplc="0ACC8480" w:tentative="1">
      <w:start w:val="1"/>
      <w:numFmt w:val="lowerLetter"/>
      <w:lvlText w:val="%5."/>
      <w:lvlJc w:val="left"/>
      <w:pPr>
        <w:ind w:left="3600" w:hanging="360"/>
      </w:pPr>
    </w:lvl>
    <w:lvl w:ilvl="5" w:tplc="CBD4272A" w:tentative="1">
      <w:start w:val="1"/>
      <w:numFmt w:val="lowerRoman"/>
      <w:lvlText w:val="%6."/>
      <w:lvlJc w:val="right"/>
      <w:pPr>
        <w:ind w:left="4320" w:hanging="180"/>
      </w:pPr>
    </w:lvl>
    <w:lvl w:ilvl="6" w:tplc="F59AC970" w:tentative="1">
      <w:start w:val="1"/>
      <w:numFmt w:val="decimal"/>
      <w:lvlText w:val="%7."/>
      <w:lvlJc w:val="left"/>
      <w:pPr>
        <w:ind w:left="5040" w:hanging="360"/>
      </w:pPr>
    </w:lvl>
    <w:lvl w:ilvl="7" w:tplc="4232F5BC" w:tentative="1">
      <w:start w:val="1"/>
      <w:numFmt w:val="lowerLetter"/>
      <w:lvlText w:val="%8."/>
      <w:lvlJc w:val="left"/>
      <w:pPr>
        <w:ind w:left="5760" w:hanging="360"/>
      </w:pPr>
    </w:lvl>
    <w:lvl w:ilvl="8" w:tplc="E9FC2920" w:tentative="1">
      <w:start w:val="1"/>
      <w:numFmt w:val="lowerRoman"/>
      <w:lvlText w:val="%9."/>
      <w:lvlJc w:val="right"/>
      <w:pPr>
        <w:ind w:left="6480" w:hanging="180"/>
      </w:pPr>
    </w:lvl>
  </w:abstractNum>
  <w:abstractNum w:abstractNumId="38" w15:restartNumberingAfterBreak="0">
    <w:nsid w:val="73944622"/>
    <w:multiLevelType w:val="multilevel"/>
    <w:tmpl w:val="A306C832"/>
    <w:styleLink w:val="ListQuotationBullet"/>
    <w:lvl w:ilvl="0">
      <w:start w:val="1"/>
      <w:numFmt w:val="bullet"/>
      <w:pStyle w:val="QuotationListBullet"/>
      <w:lvlText w:val=""/>
      <w:lvlJc w:val="left"/>
      <w:pPr>
        <w:tabs>
          <w:tab w:val="num" w:pos="1985"/>
        </w:tabs>
        <w:ind w:left="1985" w:hanging="567"/>
      </w:pPr>
      <w:rPr>
        <w:rFonts w:ascii="Symbol" w:hAnsi="Symbol" w:hint="default"/>
      </w:rPr>
    </w:lvl>
    <w:lvl w:ilvl="1">
      <w:start w:val="1"/>
      <w:numFmt w:val="bullet"/>
      <w:lvlText w:val="­"/>
      <w:lvlJc w:val="left"/>
      <w:pPr>
        <w:tabs>
          <w:tab w:val="num" w:pos="2552"/>
        </w:tabs>
        <w:ind w:left="2552" w:hanging="567"/>
      </w:pPr>
      <w:rPr>
        <w:rFonts w:ascii="Courier New" w:hAnsi="Courier New"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766548C6"/>
    <w:multiLevelType w:val="multilevel"/>
    <w:tmpl w:val="E146F73A"/>
    <w:lvl w:ilvl="0">
      <w:start w:val="1"/>
      <w:numFmt w:val="upperLetter"/>
      <w:pStyle w:val="AppendixHeading"/>
      <w:suff w:val="nothing"/>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7ADA4EB0"/>
    <w:multiLevelType w:val="multilevel"/>
    <w:tmpl w:val="724E7D0A"/>
    <w:lvl w:ilvl="0">
      <w:start w:val="1"/>
      <w:numFmt w:val="bullet"/>
      <w:lvlRestart w:val="0"/>
      <w:pStyle w:val="DecisionBullet"/>
      <w:lvlText w:val=""/>
      <w:lvlJc w:val="left"/>
      <w:pPr>
        <w:tabs>
          <w:tab w:val="num" w:pos="567"/>
        </w:tabs>
        <w:ind w:left="567" w:hanging="567"/>
      </w:pPr>
      <w:rPr>
        <w:rFonts w:ascii="Symbol" w:hAnsi="Symbol"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BF83D1B"/>
    <w:multiLevelType w:val="multilevel"/>
    <w:tmpl w:val="2D4E88CA"/>
    <w:styleLink w:val="TableBullet"/>
    <w:lvl w:ilvl="0">
      <w:start w:val="1"/>
      <w:numFmt w:val="bullet"/>
      <w:pStyle w:val="TableBullet0"/>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Symbol" w:hAnsi="Symbo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9"/>
  </w:num>
  <w:num w:numId="2">
    <w:abstractNumId w:val="21"/>
  </w:num>
  <w:num w:numId="3">
    <w:abstractNumId w:val="36"/>
  </w:num>
  <w:num w:numId="4">
    <w:abstractNumId w:val="37"/>
  </w:num>
  <w:num w:numId="5">
    <w:abstractNumId w:val="8"/>
  </w:num>
  <w:num w:numId="6">
    <w:abstractNumId w:val="27"/>
  </w:num>
  <w:num w:numId="7">
    <w:abstractNumId w:val="41"/>
  </w:num>
  <w:num w:numId="8">
    <w:abstractNumId w:val="12"/>
  </w:num>
  <w:num w:numId="9">
    <w:abstractNumId w:val="30"/>
  </w:num>
  <w:num w:numId="10">
    <w:abstractNumId w:val="23"/>
  </w:num>
  <w:num w:numId="11">
    <w:abstractNumId w:val="19"/>
  </w:num>
  <w:num w:numId="12">
    <w:abstractNumId w:val="26"/>
  </w:num>
  <w:num w:numId="13">
    <w:abstractNumId w:val="38"/>
  </w:num>
  <w:num w:numId="14">
    <w:abstractNumId w:val="39"/>
  </w:num>
  <w:num w:numId="15">
    <w:abstractNumId w:val="40"/>
  </w:num>
  <w:num w:numId="16">
    <w:abstractNumId w:val="17"/>
  </w:num>
  <w:num w:numId="17">
    <w:abstractNumId w:val="35"/>
  </w:num>
  <w:num w:numId="18">
    <w:abstractNumId w:val="11"/>
  </w:num>
  <w:num w:numId="19">
    <w:abstractNumId w:val="20"/>
  </w:num>
  <w:num w:numId="20">
    <w:abstractNumId w:val="32"/>
  </w:num>
  <w:num w:numId="21">
    <w:abstractNumId w:val="13"/>
  </w:num>
  <w:num w:numId="22">
    <w:abstractNumId w:val="14"/>
  </w:num>
  <w:num w:numId="23">
    <w:abstractNumId w:val="25"/>
  </w:num>
  <w:num w:numId="24">
    <w:abstractNumId w:val="24"/>
  </w:num>
  <w:num w:numId="25">
    <w:abstractNumId w:val="22"/>
  </w:num>
  <w:num w:numId="26">
    <w:abstractNumId w:val="31"/>
  </w:num>
  <w:num w:numId="27">
    <w:abstractNumId w:val="9"/>
  </w:num>
  <w:num w:numId="28">
    <w:abstractNumId w:val="28"/>
  </w:num>
  <w:num w:numId="29">
    <w:abstractNumId w:val="34"/>
  </w:num>
  <w:num w:numId="30">
    <w:abstractNumId w:val="29"/>
  </w:num>
  <w:num w:numId="31">
    <w:abstractNumId w:val="29"/>
  </w:num>
  <w:num w:numId="32">
    <w:abstractNumId w:val="29"/>
  </w:num>
  <w:num w:numId="33">
    <w:abstractNumId w:val="29"/>
  </w:num>
  <w:num w:numId="34">
    <w:abstractNumId w:val="29"/>
  </w:num>
  <w:num w:numId="35">
    <w:abstractNumId w:val="18"/>
  </w:num>
  <w:num w:numId="36">
    <w:abstractNumId w:val="29"/>
  </w:num>
  <w:num w:numId="37">
    <w:abstractNumId w:val="33"/>
  </w:num>
  <w:num w:numId="38">
    <w:abstractNumId w:val="16"/>
  </w:num>
  <w:num w:numId="39">
    <w:abstractNumId w:val="10"/>
  </w:num>
  <w:num w:numId="40">
    <w:abstractNumId w:val="15"/>
  </w:num>
  <w:num w:numId="41">
    <w:abstractNumId w:val="7"/>
  </w:num>
  <w:num w:numId="42">
    <w:abstractNumId w:val="6"/>
  </w:num>
  <w:num w:numId="43">
    <w:abstractNumId w:val="5"/>
  </w:num>
  <w:num w:numId="44">
    <w:abstractNumId w:val="4"/>
  </w:num>
  <w:num w:numId="45">
    <w:abstractNumId w:val="3"/>
  </w:num>
  <w:num w:numId="46">
    <w:abstractNumId w:val="2"/>
  </w:num>
  <w:num w:numId="47">
    <w:abstractNumId w:val="1"/>
  </w:num>
  <w:num w:numId="48">
    <w:abstractNumId w:val="0"/>
  </w:num>
  <w:num w:numId="49">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trackRevisions/>
  <w:doNotTrackMoves/>
  <w:documentProtection w:formatting="1" w:enforcement="0"/>
  <w:defaultTabStop w:val="567"/>
  <w:defaultTableStyle w:val="Revision"/>
  <w:evenAndOddHeaders/>
  <w:drawingGridHorizontalSpacing w:val="100"/>
  <w:displayHorizontalDrawingGridEvery w:val="2"/>
  <w:characterSpacingControl w:val="doNotCompress"/>
  <w:hdrShapeDefaults>
    <o:shapedefaults v:ext="edit" spidmax="454657">
      <o:colormru v:ext="edit" colors="#0093d0,#f4f0e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DA3"/>
    <w:rsid w:val="00000138"/>
    <w:rsid w:val="00000613"/>
    <w:rsid w:val="000009E2"/>
    <w:rsid w:val="00000AD9"/>
    <w:rsid w:val="00000BE1"/>
    <w:rsid w:val="0000134D"/>
    <w:rsid w:val="00001403"/>
    <w:rsid w:val="00001829"/>
    <w:rsid w:val="00001AD9"/>
    <w:rsid w:val="00001F52"/>
    <w:rsid w:val="00002475"/>
    <w:rsid w:val="00002867"/>
    <w:rsid w:val="00002BED"/>
    <w:rsid w:val="00002D96"/>
    <w:rsid w:val="0000331D"/>
    <w:rsid w:val="00003719"/>
    <w:rsid w:val="0000442F"/>
    <w:rsid w:val="00004734"/>
    <w:rsid w:val="00004ABC"/>
    <w:rsid w:val="0000530E"/>
    <w:rsid w:val="00005398"/>
    <w:rsid w:val="0000542F"/>
    <w:rsid w:val="0000557C"/>
    <w:rsid w:val="000056E8"/>
    <w:rsid w:val="00005AC6"/>
    <w:rsid w:val="000060B2"/>
    <w:rsid w:val="00006C54"/>
    <w:rsid w:val="00007233"/>
    <w:rsid w:val="000100E6"/>
    <w:rsid w:val="00010D50"/>
    <w:rsid w:val="00011288"/>
    <w:rsid w:val="000112C6"/>
    <w:rsid w:val="00011435"/>
    <w:rsid w:val="00011BC2"/>
    <w:rsid w:val="00012302"/>
    <w:rsid w:val="00012734"/>
    <w:rsid w:val="00012CB7"/>
    <w:rsid w:val="00013229"/>
    <w:rsid w:val="00013253"/>
    <w:rsid w:val="00013667"/>
    <w:rsid w:val="00013E0F"/>
    <w:rsid w:val="00013E5C"/>
    <w:rsid w:val="00014ECC"/>
    <w:rsid w:val="00015E75"/>
    <w:rsid w:val="00016362"/>
    <w:rsid w:val="0001671A"/>
    <w:rsid w:val="00016BC9"/>
    <w:rsid w:val="00016CAD"/>
    <w:rsid w:val="000172C5"/>
    <w:rsid w:val="0001748A"/>
    <w:rsid w:val="00017F3A"/>
    <w:rsid w:val="00020C22"/>
    <w:rsid w:val="000212A5"/>
    <w:rsid w:val="00021437"/>
    <w:rsid w:val="00021B99"/>
    <w:rsid w:val="000233C4"/>
    <w:rsid w:val="00024257"/>
    <w:rsid w:val="000249DB"/>
    <w:rsid w:val="00024CA8"/>
    <w:rsid w:val="000250C8"/>
    <w:rsid w:val="000251CF"/>
    <w:rsid w:val="000258CB"/>
    <w:rsid w:val="00025C7A"/>
    <w:rsid w:val="000264F1"/>
    <w:rsid w:val="00026B4C"/>
    <w:rsid w:val="000273F0"/>
    <w:rsid w:val="00027B2F"/>
    <w:rsid w:val="00027DED"/>
    <w:rsid w:val="00027F9C"/>
    <w:rsid w:val="00030202"/>
    <w:rsid w:val="000307A0"/>
    <w:rsid w:val="000307F7"/>
    <w:rsid w:val="00030ADA"/>
    <w:rsid w:val="0003154F"/>
    <w:rsid w:val="000315A8"/>
    <w:rsid w:val="000322B5"/>
    <w:rsid w:val="000327E6"/>
    <w:rsid w:val="00032E68"/>
    <w:rsid w:val="000336BB"/>
    <w:rsid w:val="00036068"/>
    <w:rsid w:val="000365EC"/>
    <w:rsid w:val="00036A7D"/>
    <w:rsid w:val="0003727A"/>
    <w:rsid w:val="00037364"/>
    <w:rsid w:val="000374E1"/>
    <w:rsid w:val="00037AD6"/>
    <w:rsid w:val="00037EA8"/>
    <w:rsid w:val="00040217"/>
    <w:rsid w:val="00040EF9"/>
    <w:rsid w:val="000416DB"/>
    <w:rsid w:val="00041AAD"/>
    <w:rsid w:val="00041BE8"/>
    <w:rsid w:val="00041FEC"/>
    <w:rsid w:val="00042023"/>
    <w:rsid w:val="00042617"/>
    <w:rsid w:val="000427E3"/>
    <w:rsid w:val="00042959"/>
    <w:rsid w:val="00042B85"/>
    <w:rsid w:val="00042DDE"/>
    <w:rsid w:val="00043097"/>
    <w:rsid w:val="000430C9"/>
    <w:rsid w:val="00043D9D"/>
    <w:rsid w:val="00044726"/>
    <w:rsid w:val="000447C1"/>
    <w:rsid w:val="00044837"/>
    <w:rsid w:val="00044B07"/>
    <w:rsid w:val="00045005"/>
    <w:rsid w:val="0004502D"/>
    <w:rsid w:val="00045B7F"/>
    <w:rsid w:val="00045F89"/>
    <w:rsid w:val="00045FE9"/>
    <w:rsid w:val="000463D8"/>
    <w:rsid w:val="000466CE"/>
    <w:rsid w:val="00047B40"/>
    <w:rsid w:val="00050583"/>
    <w:rsid w:val="00050FA4"/>
    <w:rsid w:val="00051529"/>
    <w:rsid w:val="00052A4B"/>
    <w:rsid w:val="00052E1D"/>
    <w:rsid w:val="00053A60"/>
    <w:rsid w:val="00055C49"/>
    <w:rsid w:val="00056412"/>
    <w:rsid w:val="000565EE"/>
    <w:rsid w:val="00056A08"/>
    <w:rsid w:val="000572B6"/>
    <w:rsid w:val="0006032F"/>
    <w:rsid w:val="00060CF0"/>
    <w:rsid w:val="00061892"/>
    <w:rsid w:val="0006274E"/>
    <w:rsid w:val="000633F2"/>
    <w:rsid w:val="000639D8"/>
    <w:rsid w:val="00063A5A"/>
    <w:rsid w:val="00063B61"/>
    <w:rsid w:val="0006457D"/>
    <w:rsid w:val="00064899"/>
    <w:rsid w:val="00065837"/>
    <w:rsid w:val="000667E5"/>
    <w:rsid w:val="00066D15"/>
    <w:rsid w:val="00066EEC"/>
    <w:rsid w:val="00067051"/>
    <w:rsid w:val="00067786"/>
    <w:rsid w:val="00070005"/>
    <w:rsid w:val="000713D5"/>
    <w:rsid w:val="000718EF"/>
    <w:rsid w:val="00071D80"/>
    <w:rsid w:val="00072073"/>
    <w:rsid w:val="00072531"/>
    <w:rsid w:val="0007262F"/>
    <w:rsid w:val="0007392D"/>
    <w:rsid w:val="0007411D"/>
    <w:rsid w:val="00074824"/>
    <w:rsid w:val="0007505E"/>
    <w:rsid w:val="00075481"/>
    <w:rsid w:val="00076829"/>
    <w:rsid w:val="00076E72"/>
    <w:rsid w:val="00076E80"/>
    <w:rsid w:val="00077B98"/>
    <w:rsid w:val="00081012"/>
    <w:rsid w:val="00081646"/>
    <w:rsid w:val="00081EA5"/>
    <w:rsid w:val="00082816"/>
    <w:rsid w:val="00082E00"/>
    <w:rsid w:val="00082E96"/>
    <w:rsid w:val="00083268"/>
    <w:rsid w:val="000832DB"/>
    <w:rsid w:val="00084053"/>
    <w:rsid w:val="000842A1"/>
    <w:rsid w:val="00084311"/>
    <w:rsid w:val="0008437D"/>
    <w:rsid w:val="000847C4"/>
    <w:rsid w:val="00084C73"/>
    <w:rsid w:val="00084DBF"/>
    <w:rsid w:val="0008598F"/>
    <w:rsid w:val="00085C3D"/>
    <w:rsid w:val="00087866"/>
    <w:rsid w:val="00087BE2"/>
    <w:rsid w:val="00087C2E"/>
    <w:rsid w:val="00090264"/>
    <w:rsid w:val="000921C1"/>
    <w:rsid w:val="00092322"/>
    <w:rsid w:val="000923B6"/>
    <w:rsid w:val="00092A00"/>
    <w:rsid w:val="00092CA2"/>
    <w:rsid w:val="0009306E"/>
    <w:rsid w:val="00093237"/>
    <w:rsid w:val="000933EE"/>
    <w:rsid w:val="00093AD0"/>
    <w:rsid w:val="00094143"/>
    <w:rsid w:val="000943A7"/>
    <w:rsid w:val="00094A4E"/>
    <w:rsid w:val="000953B4"/>
    <w:rsid w:val="0009553D"/>
    <w:rsid w:val="00095680"/>
    <w:rsid w:val="00095A3F"/>
    <w:rsid w:val="00095ED7"/>
    <w:rsid w:val="00096F0F"/>
    <w:rsid w:val="00097E59"/>
    <w:rsid w:val="000A02A4"/>
    <w:rsid w:val="000A072E"/>
    <w:rsid w:val="000A0820"/>
    <w:rsid w:val="000A1A00"/>
    <w:rsid w:val="000A1EA9"/>
    <w:rsid w:val="000A1EC6"/>
    <w:rsid w:val="000A25D4"/>
    <w:rsid w:val="000A2A78"/>
    <w:rsid w:val="000A2CD4"/>
    <w:rsid w:val="000A3DFB"/>
    <w:rsid w:val="000A42D6"/>
    <w:rsid w:val="000A55F9"/>
    <w:rsid w:val="000A5A59"/>
    <w:rsid w:val="000A5DDE"/>
    <w:rsid w:val="000A61EC"/>
    <w:rsid w:val="000B0001"/>
    <w:rsid w:val="000B0092"/>
    <w:rsid w:val="000B0A21"/>
    <w:rsid w:val="000B1C17"/>
    <w:rsid w:val="000B28C8"/>
    <w:rsid w:val="000B2D50"/>
    <w:rsid w:val="000B30F5"/>
    <w:rsid w:val="000B4434"/>
    <w:rsid w:val="000B4769"/>
    <w:rsid w:val="000B4951"/>
    <w:rsid w:val="000B4EAD"/>
    <w:rsid w:val="000B50A4"/>
    <w:rsid w:val="000B513E"/>
    <w:rsid w:val="000B560C"/>
    <w:rsid w:val="000B62D2"/>
    <w:rsid w:val="000B728A"/>
    <w:rsid w:val="000B7BA9"/>
    <w:rsid w:val="000B7E1D"/>
    <w:rsid w:val="000C05DA"/>
    <w:rsid w:val="000C0609"/>
    <w:rsid w:val="000C1429"/>
    <w:rsid w:val="000C1717"/>
    <w:rsid w:val="000C1AC2"/>
    <w:rsid w:val="000C2887"/>
    <w:rsid w:val="000C2941"/>
    <w:rsid w:val="000C2984"/>
    <w:rsid w:val="000C2CC7"/>
    <w:rsid w:val="000C2D1D"/>
    <w:rsid w:val="000C3AFA"/>
    <w:rsid w:val="000C3F01"/>
    <w:rsid w:val="000C4486"/>
    <w:rsid w:val="000C44B9"/>
    <w:rsid w:val="000C4799"/>
    <w:rsid w:val="000C4891"/>
    <w:rsid w:val="000C51FA"/>
    <w:rsid w:val="000C5610"/>
    <w:rsid w:val="000C5A7F"/>
    <w:rsid w:val="000C5B5E"/>
    <w:rsid w:val="000C5D58"/>
    <w:rsid w:val="000C6861"/>
    <w:rsid w:val="000C73E5"/>
    <w:rsid w:val="000C78E7"/>
    <w:rsid w:val="000D084B"/>
    <w:rsid w:val="000D1263"/>
    <w:rsid w:val="000D297E"/>
    <w:rsid w:val="000D2A80"/>
    <w:rsid w:val="000D31BD"/>
    <w:rsid w:val="000D3CA0"/>
    <w:rsid w:val="000D3CB1"/>
    <w:rsid w:val="000D3D68"/>
    <w:rsid w:val="000D3F0A"/>
    <w:rsid w:val="000D4318"/>
    <w:rsid w:val="000D45BB"/>
    <w:rsid w:val="000D491A"/>
    <w:rsid w:val="000D4F44"/>
    <w:rsid w:val="000D5809"/>
    <w:rsid w:val="000D5896"/>
    <w:rsid w:val="000D6519"/>
    <w:rsid w:val="000D69EC"/>
    <w:rsid w:val="000D6CA8"/>
    <w:rsid w:val="000D74C3"/>
    <w:rsid w:val="000E0072"/>
    <w:rsid w:val="000E01EE"/>
    <w:rsid w:val="000E0276"/>
    <w:rsid w:val="000E06B4"/>
    <w:rsid w:val="000E142B"/>
    <w:rsid w:val="000E1A28"/>
    <w:rsid w:val="000E1ABF"/>
    <w:rsid w:val="000E1BB3"/>
    <w:rsid w:val="000E1E3D"/>
    <w:rsid w:val="000E22FC"/>
    <w:rsid w:val="000E2A72"/>
    <w:rsid w:val="000E363B"/>
    <w:rsid w:val="000E3659"/>
    <w:rsid w:val="000E3BFF"/>
    <w:rsid w:val="000E4074"/>
    <w:rsid w:val="000E4366"/>
    <w:rsid w:val="000E494B"/>
    <w:rsid w:val="000E4A26"/>
    <w:rsid w:val="000E4E88"/>
    <w:rsid w:val="000E55FC"/>
    <w:rsid w:val="000E5753"/>
    <w:rsid w:val="000E5A6E"/>
    <w:rsid w:val="000E695C"/>
    <w:rsid w:val="000E7574"/>
    <w:rsid w:val="000E7D6A"/>
    <w:rsid w:val="000E7E61"/>
    <w:rsid w:val="000F0487"/>
    <w:rsid w:val="000F0EE9"/>
    <w:rsid w:val="000F1666"/>
    <w:rsid w:val="000F1D81"/>
    <w:rsid w:val="000F205A"/>
    <w:rsid w:val="000F2AC8"/>
    <w:rsid w:val="000F2B52"/>
    <w:rsid w:val="000F3AE1"/>
    <w:rsid w:val="000F40E7"/>
    <w:rsid w:val="000F440C"/>
    <w:rsid w:val="000F4632"/>
    <w:rsid w:val="000F4A0A"/>
    <w:rsid w:val="000F506F"/>
    <w:rsid w:val="000F5F95"/>
    <w:rsid w:val="000F6415"/>
    <w:rsid w:val="000F6716"/>
    <w:rsid w:val="000F71C4"/>
    <w:rsid w:val="000F745C"/>
    <w:rsid w:val="000F7590"/>
    <w:rsid w:val="000F7B20"/>
    <w:rsid w:val="001008D7"/>
    <w:rsid w:val="00101340"/>
    <w:rsid w:val="001013B8"/>
    <w:rsid w:val="00101DE0"/>
    <w:rsid w:val="0010205E"/>
    <w:rsid w:val="001023BF"/>
    <w:rsid w:val="001028DD"/>
    <w:rsid w:val="00102A3A"/>
    <w:rsid w:val="00104913"/>
    <w:rsid w:val="0010541A"/>
    <w:rsid w:val="001055DF"/>
    <w:rsid w:val="0010574F"/>
    <w:rsid w:val="00105AA0"/>
    <w:rsid w:val="00105B26"/>
    <w:rsid w:val="00105EA3"/>
    <w:rsid w:val="0010614D"/>
    <w:rsid w:val="001066D3"/>
    <w:rsid w:val="001068A8"/>
    <w:rsid w:val="00106CA1"/>
    <w:rsid w:val="00107BF9"/>
    <w:rsid w:val="00107F22"/>
    <w:rsid w:val="00111AE4"/>
    <w:rsid w:val="00111F5E"/>
    <w:rsid w:val="00112A0F"/>
    <w:rsid w:val="00112CDD"/>
    <w:rsid w:val="001131D1"/>
    <w:rsid w:val="00113362"/>
    <w:rsid w:val="001133FC"/>
    <w:rsid w:val="001134CA"/>
    <w:rsid w:val="00113D96"/>
    <w:rsid w:val="00114A9D"/>
    <w:rsid w:val="001154DE"/>
    <w:rsid w:val="00115F79"/>
    <w:rsid w:val="001163F8"/>
    <w:rsid w:val="001166CC"/>
    <w:rsid w:val="00116840"/>
    <w:rsid w:val="00116870"/>
    <w:rsid w:val="00116E5A"/>
    <w:rsid w:val="00117561"/>
    <w:rsid w:val="001178C3"/>
    <w:rsid w:val="00117BDA"/>
    <w:rsid w:val="00117EB1"/>
    <w:rsid w:val="00117F4D"/>
    <w:rsid w:val="00120777"/>
    <w:rsid w:val="00121425"/>
    <w:rsid w:val="00121AB0"/>
    <w:rsid w:val="00121D68"/>
    <w:rsid w:val="00121E9B"/>
    <w:rsid w:val="00122765"/>
    <w:rsid w:val="00122B26"/>
    <w:rsid w:val="00122CA1"/>
    <w:rsid w:val="00123219"/>
    <w:rsid w:val="00123350"/>
    <w:rsid w:val="0012358F"/>
    <w:rsid w:val="00123777"/>
    <w:rsid w:val="00123826"/>
    <w:rsid w:val="00123CC5"/>
    <w:rsid w:val="00123EE8"/>
    <w:rsid w:val="0012421D"/>
    <w:rsid w:val="00124237"/>
    <w:rsid w:val="00124F35"/>
    <w:rsid w:val="00124F4C"/>
    <w:rsid w:val="00125FAA"/>
    <w:rsid w:val="0012600A"/>
    <w:rsid w:val="00127BB9"/>
    <w:rsid w:val="00127E65"/>
    <w:rsid w:val="00132834"/>
    <w:rsid w:val="00132A3B"/>
    <w:rsid w:val="001330A4"/>
    <w:rsid w:val="00133110"/>
    <w:rsid w:val="00133C9F"/>
    <w:rsid w:val="00133CD6"/>
    <w:rsid w:val="00133D92"/>
    <w:rsid w:val="00134167"/>
    <w:rsid w:val="0013424C"/>
    <w:rsid w:val="001343CC"/>
    <w:rsid w:val="0013526E"/>
    <w:rsid w:val="0013533D"/>
    <w:rsid w:val="00135625"/>
    <w:rsid w:val="00135B39"/>
    <w:rsid w:val="00135D52"/>
    <w:rsid w:val="00136D48"/>
    <w:rsid w:val="001377EE"/>
    <w:rsid w:val="001379AE"/>
    <w:rsid w:val="00137D33"/>
    <w:rsid w:val="00140204"/>
    <w:rsid w:val="00141CE1"/>
    <w:rsid w:val="0014262C"/>
    <w:rsid w:val="00142CE9"/>
    <w:rsid w:val="00142E01"/>
    <w:rsid w:val="00142F00"/>
    <w:rsid w:val="00143604"/>
    <w:rsid w:val="00144285"/>
    <w:rsid w:val="0014451D"/>
    <w:rsid w:val="00144C45"/>
    <w:rsid w:val="0014601C"/>
    <w:rsid w:val="001465D5"/>
    <w:rsid w:val="00146ED2"/>
    <w:rsid w:val="00147076"/>
    <w:rsid w:val="00150177"/>
    <w:rsid w:val="001502C2"/>
    <w:rsid w:val="001505DF"/>
    <w:rsid w:val="0015184A"/>
    <w:rsid w:val="00151A88"/>
    <w:rsid w:val="00151DC6"/>
    <w:rsid w:val="001523DB"/>
    <w:rsid w:val="00152F45"/>
    <w:rsid w:val="00153BCE"/>
    <w:rsid w:val="001543D6"/>
    <w:rsid w:val="0015498E"/>
    <w:rsid w:val="00155358"/>
    <w:rsid w:val="00155E97"/>
    <w:rsid w:val="0015619F"/>
    <w:rsid w:val="001567BC"/>
    <w:rsid w:val="00156CAD"/>
    <w:rsid w:val="0015795F"/>
    <w:rsid w:val="00157AEE"/>
    <w:rsid w:val="00157B18"/>
    <w:rsid w:val="00157F1F"/>
    <w:rsid w:val="001601F6"/>
    <w:rsid w:val="001601FC"/>
    <w:rsid w:val="00160449"/>
    <w:rsid w:val="00160F24"/>
    <w:rsid w:val="001613CC"/>
    <w:rsid w:val="001613DB"/>
    <w:rsid w:val="00161A78"/>
    <w:rsid w:val="00161FC8"/>
    <w:rsid w:val="001623A6"/>
    <w:rsid w:val="00164864"/>
    <w:rsid w:val="00164B6E"/>
    <w:rsid w:val="00164E1E"/>
    <w:rsid w:val="00165214"/>
    <w:rsid w:val="00165E9C"/>
    <w:rsid w:val="001660EF"/>
    <w:rsid w:val="00166209"/>
    <w:rsid w:val="0016648E"/>
    <w:rsid w:val="001672F4"/>
    <w:rsid w:val="00167547"/>
    <w:rsid w:val="00167B77"/>
    <w:rsid w:val="00167FAF"/>
    <w:rsid w:val="00170540"/>
    <w:rsid w:val="00170609"/>
    <w:rsid w:val="00170F2B"/>
    <w:rsid w:val="001726A5"/>
    <w:rsid w:val="00173BD5"/>
    <w:rsid w:val="0017405D"/>
    <w:rsid w:val="00174671"/>
    <w:rsid w:val="001747B4"/>
    <w:rsid w:val="00175B00"/>
    <w:rsid w:val="00175FC6"/>
    <w:rsid w:val="00176592"/>
    <w:rsid w:val="00177136"/>
    <w:rsid w:val="00177596"/>
    <w:rsid w:val="00180A40"/>
    <w:rsid w:val="00180D7A"/>
    <w:rsid w:val="00180EEF"/>
    <w:rsid w:val="001812A4"/>
    <w:rsid w:val="00181521"/>
    <w:rsid w:val="0018161B"/>
    <w:rsid w:val="0018177E"/>
    <w:rsid w:val="00181DB3"/>
    <w:rsid w:val="00182676"/>
    <w:rsid w:val="00184636"/>
    <w:rsid w:val="00184D0D"/>
    <w:rsid w:val="00185023"/>
    <w:rsid w:val="00185175"/>
    <w:rsid w:val="001864A3"/>
    <w:rsid w:val="00186B1D"/>
    <w:rsid w:val="0018721F"/>
    <w:rsid w:val="001873ED"/>
    <w:rsid w:val="00187AB0"/>
    <w:rsid w:val="00191A9E"/>
    <w:rsid w:val="00191D04"/>
    <w:rsid w:val="00192D50"/>
    <w:rsid w:val="00192E46"/>
    <w:rsid w:val="001933F2"/>
    <w:rsid w:val="00194060"/>
    <w:rsid w:val="001945E2"/>
    <w:rsid w:val="00194B33"/>
    <w:rsid w:val="001959E2"/>
    <w:rsid w:val="001964A9"/>
    <w:rsid w:val="00196AC8"/>
    <w:rsid w:val="00196F3B"/>
    <w:rsid w:val="00197593"/>
    <w:rsid w:val="0019776F"/>
    <w:rsid w:val="0019788C"/>
    <w:rsid w:val="00197982"/>
    <w:rsid w:val="001A0621"/>
    <w:rsid w:val="001A0BB1"/>
    <w:rsid w:val="001A1898"/>
    <w:rsid w:val="001A2067"/>
    <w:rsid w:val="001A282E"/>
    <w:rsid w:val="001A2A53"/>
    <w:rsid w:val="001A34D3"/>
    <w:rsid w:val="001A4243"/>
    <w:rsid w:val="001A490D"/>
    <w:rsid w:val="001A5572"/>
    <w:rsid w:val="001A5D08"/>
    <w:rsid w:val="001A5DEB"/>
    <w:rsid w:val="001A62E6"/>
    <w:rsid w:val="001A79DC"/>
    <w:rsid w:val="001A7CB8"/>
    <w:rsid w:val="001B0287"/>
    <w:rsid w:val="001B04F1"/>
    <w:rsid w:val="001B07D0"/>
    <w:rsid w:val="001B201D"/>
    <w:rsid w:val="001B29C0"/>
    <w:rsid w:val="001B2C56"/>
    <w:rsid w:val="001B36CE"/>
    <w:rsid w:val="001B389D"/>
    <w:rsid w:val="001B399B"/>
    <w:rsid w:val="001B4511"/>
    <w:rsid w:val="001B4878"/>
    <w:rsid w:val="001B500D"/>
    <w:rsid w:val="001B56A3"/>
    <w:rsid w:val="001B58D5"/>
    <w:rsid w:val="001B64B7"/>
    <w:rsid w:val="001B6527"/>
    <w:rsid w:val="001B658F"/>
    <w:rsid w:val="001B68E7"/>
    <w:rsid w:val="001B6E25"/>
    <w:rsid w:val="001B7F70"/>
    <w:rsid w:val="001C0079"/>
    <w:rsid w:val="001C076F"/>
    <w:rsid w:val="001C07E2"/>
    <w:rsid w:val="001C0AB9"/>
    <w:rsid w:val="001C0AC9"/>
    <w:rsid w:val="001C166D"/>
    <w:rsid w:val="001C248B"/>
    <w:rsid w:val="001C28A3"/>
    <w:rsid w:val="001C3156"/>
    <w:rsid w:val="001C32D5"/>
    <w:rsid w:val="001C3B62"/>
    <w:rsid w:val="001C46DC"/>
    <w:rsid w:val="001C49EB"/>
    <w:rsid w:val="001C4F0E"/>
    <w:rsid w:val="001C5CFF"/>
    <w:rsid w:val="001D02A0"/>
    <w:rsid w:val="001D08B9"/>
    <w:rsid w:val="001D0973"/>
    <w:rsid w:val="001D0A85"/>
    <w:rsid w:val="001D281F"/>
    <w:rsid w:val="001D286E"/>
    <w:rsid w:val="001D2DB4"/>
    <w:rsid w:val="001D2FC0"/>
    <w:rsid w:val="001D37FF"/>
    <w:rsid w:val="001D3AD3"/>
    <w:rsid w:val="001D3F4A"/>
    <w:rsid w:val="001D3F69"/>
    <w:rsid w:val="001D46A1"/>
    <w:rsid w:val="001D46FA"/>
    <w:rsid w:val="001D4F7B"/>
    <w:rsid w:val="001D5FFE"/>
    <w:rsid w:val="001D60DB"/>
    <w:rsid w:val="001D776D"/>
    <w:rsid w:val="001D7B1A"/>
    <w:rsid w:val="001E04B1"/>
    <w:rsid w:val="001E07DC"/>
    <w:rsid w:val="001E10ED"/>
    <w:rsid w:val="001E1EC8"/>
    <w:rsid w:val="001E4013"/>
    <w:rsid w:val="001E4BDA"/>
    <w:rsid w:val="001E5321"/>
    <w:rsid w:val="001E63FD"/>
    <w:rsid w:val="001E6681"/>
    <w:rsid w:val="001E73F3"/>
    <w:rsid w:val="001E77C1"/>
    <w:rsid w:val="001E7F37"/>
    <w:rsid w:val="001E7F91"/>
    <w:rsid w:val="001E7FBA"/>
    <w:rsid w:val="001F0056"/>
    <w:rsid w:val="001F0569"/>
    <w:rsid w:val="001F0597"/>
    <w:rsid w:val="001F07BA"/>
    <w:rsid w:val="001F0855"/>
    <w:rsid w:val="001F0AC2"/>
    <w:rsid w:val="001F1298"/>
    <w:rsid w:val="001F1316"/>
    <w:rsid w:val="001F1575"/>
    <w:rsid w:val="001F1976"/>
    <w:rsid w:val="001F1C6F"/>
    <w:rsid w:val="001F1C9A"/>
    <w:rsid w:val="001F2134"/>
    <w:rsid w:val="001F29F5"/>
    <w:rsid w:val="001F2AD7"/>
    <w:rsid w:val="001F2DA0"/>
    <w:rsid w:val="001F3239"/>
    <w:rsid w:val="001F396E"/>
    <w:rsid w:val="001F39A3"/>
    <w:rsid w:val="001F3E7D"/>
    <w:rsid w:val="001F433B"/>
    <w:rsid w:val="001F4BC8"/>
    <w:rsid w:val="001F4CB6"/>
    <w:rsid w:val="001F513D"/>
    <w:rsid w:val="001F5195"/>
    <w:rsid w:val="001F6142"/>
    <w:rsid w:val="001F6747"/>
    <w:rsid w:val="001F6852"/>
    <w:rsid w:val="001F74E1"/>
    <w:rsid w:val="00200331"/>
    <w:rsid w:val="00201202"/>
    <w:rsid w:val="00201698"/>
    <w:rsid w:val="00201B42"/>
    <w:rsid w:val="00201B96"/>
    <w:rsid w:val="00202429"/>
    <w:rsid w:val="0020247D"/>
    <w:rsid w:val="00202D8B"/>
    <w:rsid w:val="0020310E"/>
    <w:rsid w:val="00203210"/>
    <w:rsid w:val="00203882"/>
    <w:rsid w:val="002060E5"/>
    <w:rsid w:val="00206194"/>
    <w:rsid w:val="002061D1"/>
    <w:rsid w:val="00206C46"/>
    <w:rsid w:val="00207000"/>
    <w:rsid w:val="00207288"/>
    <w:rsid w:val="00207C1C"/>
    <w:rsid w:val="00207CF1"/>
    <w:rsid w:val="00207E91"/>
    <w:rsid w:val="00210DA7"/>
    <w:rsid w:val="00210FDE"/>
    <w:rsid w:val="002110F9"/>
    <w:rsid w:val="00211153"/>
    <w:rsid w:val="00211A2B"/>
    <w:rsid w:val="00211B56"/>
    <w:rsid w:val="00212A38"/>
    <w:rsid w:val="00212AA1"/>
    <w:rsid w:val="00212CAB"/>
    <w:rsid w:val="00213117"/>
    <w:rsid w:val="0021391A"/>
    <w:rsid w:val="00213C41"/>
    <w:rsid w:val="00213D76"/>
    <w:rsid w:val="00214130"/>
    <w:rsid w:val="002150F6"/>
    <w:rsid w:val="002153D2"/>
    <w:rsid w:val="002154F5"/>
    <w:rsid w:val="0021576B"/>
    <w:rsid w:val="00215A6C"/>
    <w:rsid w:val="0021655F"/>
    <w:rsid w:val="00217456"/>
    <w:rsid w:val="00217A36"/>
    <w:rsid w:val="002206A6"/>
    <w:rsid w:val="0022114C"/>
    <w:rsid w:val="002218F9"/>
    <w:rsid w:val="00221F35"/>
    <w:rsid w:val="0022306E"/>
    <w:rsid w:val="00225C26"/>
    <w:rsid w:val="00225FAD"/>
    <w:rsid w:val="00226A9C"/>
    <w:rsid w:val="00226B3E"/>
    <w:rsid w:val="00226D6C"/>
    <w:rsid w:val="00226DEA"/>
    <w:rsid w:val="00227423"/>
    <w:rsid w:val="002274AC"/>
    <w:rsid w:val="00227A84"/>
    <w:rsid w:val="002300DD"/>
    <w:rsid w:val="00230AF4"/>
    <w:rsid w:val="00230DAF"/>
    <w:rsid w:val="00231427"/>
    <w:rsid w:val="00232F10"/>
    <w:rsid w:val="002330A3"/>
    <w:rsid w:val="00233329"/>
    <w:rsid w:val="00233AD6"/>
    <w:rsid w:val="00234FC0"/>
    <w:rsid w:val="002366A9"/>
    <w:rsid w:val="002372E5"/>
    <w:rsid w:val="00240575"/>
    <w:rsid w:val="00240B3E"/>
    <w:rsid w:val="00241A01"/>
    <w:rsid w:val="00241A24"/>
    <w:rsid w:val="00241D2A"/>
    <w:rsid w:val="002426E7"/>
    <w:rsid w:val="00243148"/>
    <w:rsid w:val="002437CF"/>
    <w:rsid w:val="002437D6"/>
    <w:rsid w:val="00243B62"/>
    <w:rsid w:val="0024490A"/>
    <w:rsid w:val="00244A29"/>
    <w:rsid w:val="00245028"/>
    <w:rsid w:val="0024520D"/>
    <w:rsid w:val="002453AD"/>
    <w:rsid w:val="00245A0C"/>
    <w:rsid w:val="00245A18"/>
    <w:rsid w:val="00245FF3"/>
    <w:rsid w:val="00246310"/>
    <w:rsid w:val="0024710E"/>
    <w:rsid w:val="00247759"/>
    <w:rsid w:val="00250656"/>
    <w:rsid w:val="00250B90"/>
    <w:rsid w:val="00250EA0"/>
    <w:rsid w:val="00251075"/>
    <w:rsid w:val="00251681"/>
    <w:rsid w:val="00252248"/>
    <w:rsid w:val="002522DC"/>
    <w:rsid w:val="00252421"/>
    <w:rsid w:val="002538D5"/>
    <w:rsid w:val="00253A7D"/>
    <w:rsid w:val="00253AA1"/>
    <w:rsid w:val="00253FB1"/>
    <w:rsid w:val="0025431A"/>
    <w:rsid w:val="00254FC5"/>
    <w:rsid w:val="00255108"/>
    <w:rsid w:val="00255213"/>
    <w:rsid w:val="002559AE"/>
    <w:rsid w:val="002559E3"/>
    <w:rsid w:val="00256F70"/>
    <w:rsid w:val="0025770B"/>
    <w:rsid w:val="00260CD4"/>
    <w:rsid w:val="00260D32"/>
    <w:rsid w:val="00260E21"/>
    <w:rsid w:val="002614F4"/>
    <w:rsid w:val="0026168F"/>
    <w:rsid w:val="002617C3"/>
    <w:rsid w:val="00261BF8"/>
    <w:rsid w:val="00262646"/>
    <w:rsid w:val="00262651"/>
    <w:rsid w:val="0026266C"/>
    <w:rsid w:val="002629F2"/>
    <w:rsid w:val="00263950"/>
    <w:rsid w:val="00263A7B"/>
    <w:rsid w:val="002647A0"/>
    <w:rsid w:val="002648D1"/>
    <w:rsid w:val="00264BF0"/>
    <w:rsid w:val="0026543C"/>
    <w:rsid w:val="00265643"/>
    <w:rsid w:val="0026583C"/>
    <w:rsid w:val="0026625F"/>
    <w:rsid w:val="00266C0F"/>
    <w:rsid w:val="00266C82"/>
    <w:rsid w:val="00267519"/>
    <w:rsid w:val="0026783D"/>
    <w:rsid w:val="002702D9"/>
    <w:rsid w:val="00270C6B"/>
    <w:rsid w:val="00270E3F"/>
    <w:rsid w:val="0027162C"/>
    <w:rsid w:val="00272448"/>
    <w:rsid w:val="00272C13"/>
    <w:rsid w:val="00272C9B"/>
    <w:rsid w:val="00273425"/>
    <w:rsid w:val="00273B81"/>
    <w:rsid w:val="00273CDA"/>
    <w:rsid w:val="00273FBE"/>
    <w:rsid w:val="002742D0"/>
    <w:rsid w:val="00274519"/>
    <w:rsid w:val="00274D27"/>
    <w:rsid w:val="0027502C"/>
    <w:rsid w:val="002756EA"/>
    <w:rsid w:val="002760F9"/>
    <w:rsid w:val="002764A3"/>
    <w:rsid w:val="00276BDA"/>
    <w:rsid w:val="0027710D"/>
    <w:rsid w:val="0027730C"/>
    <w:rsid w:val="0027732B"/>
    <w:rsid w:val="002778D0"/>
    <w:rsid w:val="00277E88"/>
    <w:rsid w:val="00277FC6"/>
    <w:rsid w:val="00280457"/>
    <w:rsid w:val="002804F5"/>
    <w:rsid w:val="002807D7"/>
    <w:rsid w:val="00280FCE"/>
    <w:rsid w:val="00281680"/>
    <w:rsid w:val="00281746"/>
    <w:rsid w:val="00282197"/>
    <w:rsid w:val="0028290D"/>
    <w:rsid w:val="002829A7"/>
    <w:rsid w:val="00282F92"/>
    <w:rsid w:val="00283221"/>
    <w:rsid w:val="002833D5"/>
    <w:rsid w:val="00283773"/>
    <w:rsid w:val="0028414E"/>
    <w:rsid w:val="0028446C"/>
    <w:rsid w:val="0028452E"/>
    <w:rsid w:val="00284911"/>
    <w:rsid w:val="00284B95"/>
    <w:rsid w:val="00285DF9"/>
    <w:rsid w:val="002863F8"/>
    <w:rsid w:val="00286719"/>
    <w:rsid w:val="002868C9"/>
    <w:rsid w:val="0028693F"/>
    <w:rsid w:val="0028792E"/>
    <w:rsid w:val="00287AE8"/>
    <w:rsid w:val="00287F3E"/>
    <w:rsid w:val="00290015"/>
    <w:rsid w:val="0029028F"/>
    <w:rsid w:val="00290435"/>
    <w:rsid w:val="00290C12"/>
    <w:rsid w:val="002917F2"/>
    <w:rsid w:val="00291C7B"/>
    <w:rsid w:val="00292049"/>
    <w:rsid w:val="00292F95"/>
    <w:rsid w:val="0029310E"/>
    <w:rsid w:val="00293113"/>
    <w:rsid w:val="00293C45"/>
    <w:rsid w:val="0029437F"/>
    <w:rsid w:val="0029477D"/>
    <w:rsid w:val="00294A26"/>
    <w:rsid w:val="00294CEB"/>
    <w:rsid w:val="00294EFB"/>
    <w:rsid w:val="0029561B"/>
    <w:rsid w:val="00295CB4"/>
    <w:rsid w:val="00296255"/>
    <w:rsid w:val="00296BEA"/>
    <w:rsid w:val="00297C25"/>
    <w:rsid w:val="00297CC8"/>
    <w:rsid w:val="002A000E"/>
    <w:rsid w:val="002A003C"/>
    <w:rsid w:val="002A02FB"/>
    <w:rsid w:val="002A10A2"/>
    <w:rsid w:val="002A10AF"/>
    <w:rsid w:val="002A120A"/>
    <w:rsid w:val="002A1A50"/>
    <w:rsid w:val="002A28EB"/>
    <w:rsid w:val="002A290F"/>
    <w:rsid w:val="002A2B7C"/>
    <w:rsid w:val="002A38D9"/>
    <w:rsid w:val="002A3A54"/>
    <w:rsid w:val="002A3CD0"/>
    <w:rsid w:val="002A451C"/>
    <w:rsid w:val="002A4D29"/>
    <w:rsid w:val="002A4F59"/>
    <w:rsid w:val="002A4FA2"/>
    <w:rsid w:val="002A503D"/>
    <w:rsid w:val="002A6101"/>
    <w:rsid w:val="002A66A5"/>
    <w:rsid w:val="002A79C5"/>
    <w:rsid w:val="002A7B6C"/>
    <w:rsid w:val="002B0B0E"/>
    <w:rsid w:val="002B16C6"/>
    <w:rsid w:val="002B1AE8"/>
    <w:rsid w:val="002B2307"/>
    <w:rsid w:val="002B31FD"/>
    <w:rsid w:val="002B3FBF"/>
    <w:rsid w:val="002B404C"/>
    <w:rsid w:val="002B4CA2"/>
    <w:rsid w:val="002B4CD0"/>
    <w:rsid w:val="002B4DFF"/>
    <w:rsid w:val="002B5480"/>
    <w:rsid w:val="002B6005"/>
    <w:rsid w:val="002B684F"/>
    <w:rsid w:val="002C0033"/>
    <w:rsid w:val="002C0B2F"/>
    <w:rsid w:val="002C0E5A"/>
    <w:rsid w:val="002C0E8B"/>
    <w:rsid w:val="002C1312"/>
    <w:rsid w:val="002C1597"/>
    <w:rsid w:val="002C15C1"/>
    <w:rsid w:val="002C1978"/>
    <w:rsid w:val="002C1ECC"/>
    <w:rsid w:val="002C22E9"/>
    <w:rsid w:val="002C2C19"/>
    <w:rsid w:val="002C2C23"/>
    <w:rsid w:val="002C2CE0"/>
    <w:rsid w:val="002C2FB6"/>
    <w:rsid w:val="002C302B"/>
    <w:rsid w:val="002C305F"/>
    <w:rsid w:val="002C30D4"/>
    <w:rsid w:val="002C3A87"/>
    <w:rsid w:val="002C3A88"/>
    <w:rsid w:val="002C3C7B"/>
    <w:rsid w:val="002C3E97"/>
    <w:rsid w:val="002C41A0"/>
    <w:rsid w:val="002C4DD0"/>
    <w:rsid w:val="002C57AB"/>
    <w:rsid w:val="002C58EA"/>
    <w:rsid w:val="002C5AC5"/>
    <w:rsid w:val="002C5CD3"/>
    <w:rsid w:val="002C6DB5"/>
    <w:rsid w:val="002C6DCA"/>
    <w:rsid w:val="002C7392"/>
    <w:rsid w:val="002C75B7"/>
    <w:rsid w:val="002D0436"/>
    <w:rsid w:val="002D0757"/>
    <w:rsid w:val="002D0BCE"/>
    <w:rsid w:val="002D161D"/>
    <w:rsid w:val="002D1CE3"/>
    <w:rsid w:val="002D1F13"/>
    <w:rsid w:val="002D280B"/>
    <w:rsid w:val="002D3084"/>
    <w:rsid w:val="002D358D"/>
    <w:rsid w:val="002D36DD"/>
    <w:rsid w:val="002D5A50"/>
    <w:rsid w:val="002D67AF"/>
    <w:rsid w:val="002D6F3C"/>
    <w:rsid w:val="002D77CF"/>
    <w:rsid w:val="002E026F"/>
    <w:rsid w:val="002E0B8A"/>
    <w:rsid w:val="002E0F36"/>
    <w:rsid w:val="002E1299"/>
    <w:rsid w:val="002E132D"/>
    <w:rsid w:val="002E175B"/>
    <w:rsid w:val="002E1E60"/>
    <w:rsid w:val="002E214C"/>
    <w:rsid w:val="002E271B"/>
    <w:rsid w:val="002E2E01"/>
    <w:rsid w:val="002E31AD"/>
    <w:rsid w:val="002E32A9"/>
    <w:rsid w:val="002E3ECD"/>
    <w:rsid w:val="002E45A8"/>
    <w:rsid w:val="002E4758"/>
    <w:rsid w:val="002E5B00"/>
    <w:rsid w:val="002E60E0"/>
    <w:rsid w:val="002E67D0"/>
    <w:rsid w:val="002F0A21"/>
    <w:rsid w:val="002F0DEF"/>
    <w:rsid w:val="002F1020"/>
    <w:rsid w:val="002F125D"/>
    <w:rsid w:val="002F1A21"/>
    <w:rsid w:val="002F25C6"/>
    <w:rsid w:val="002F264D"/>
    <w:rsid w:val="002F267E"/>
    <w:rsid w:val="002F288A"/>
    <w:rsid w:val="002F2B9C"/>
    <w:rsid w:val="002F3099"/>
    <w:rsid w:val="002F3D33"/>
    <w:rsid w:val="002F4F46"/>
    <w:rsid w:val="002F5472"/>
    <w:rsid w:val="002F5741"/>
    <w:rsid w:val="002F58BD"/>
    <w:rsid w:val="002F6405"/>
    <w:rsid w:val="002F6B3A"/>
    <w:rsid w:val="002F6F72"/>
    <w:rsid w:val="002F70E3"/>
    <w:rsid w:val="002F7409"/>
    <w:rsid w:val="002F7742"/>
    <w:rsid w:val="00300039"/>
    <w:rsid w:val="00300375"/>
    <w:rsid w:val="00300759"/>
    <w:rsid w:val="00300804"/>
    <w:rsid w:val="00301309"/>
    <w:rsid w:val="00301713"/>
    <w:rsid w:val="00301DE6"/>
    <w:rsid w:val="00301EB8"/>
    <w:rsid w:val="003026AC"/>
    <w:rsid w:val="00302A62"/>
    <w:rsid w:val="00302BDD"/>
    <w:rsid w:val="0030350B"/>
    <w:rsid w:val="00303693"/>
    <w:rsid w:val="00303A90"/>
    <w:rsid w:val="003041FC"/>
    <w:rsid w:val="00305357"/>
    <w:rsid w:val="00305AF3"/>
    <w:rsid w:val="00306407"/>
    <w:rsid w:val="0030649A"/>
    <w:rsid w:val="00306969"/>
    <w:rsid w:val="00306B1D"/>
    <w:rsid w:val="0030709A"/>
    <w:rsid w:val="00307687"/>
    <w:rsid w:val="0030787E"/>
    <w:rsid w:val="00307BDA"/>
    <w:rsid w:val="00307D68"/>
    <w:rsid w:val="003100E9"/>
    <w:rsid w:val="00310285"/>
    <w:rsid w:val="00310AF3"/>
    <w:rsid w:val="00311488"/>
    <w:rsid w:val="00312030"/>
    <w:rsid w:val="00313BEF"/>
    <w:rsid w:val="00314708"/>
    <w:rsid w:val="003147F7"/>
    <w:rsid w:val="00314885"/>
    <w:rsid w:val="00314A22"/>
    <w:rsid w:val="00314E5B"/>
    <w:rsid w:val="00315183"/>
    <w:rsid w:val="00315205"/>
    <w:rsid w:val="00315210"/>
    <w:rsid w:val="003155FD"/>
    <w:rsid w:val="003162D1"/>
    <w:rsid w:val="0031646C"/>
    <w:rsid w:val="0031733A"/>
    <w:rsid w:val="00317F6E"/>
    <w:rsid w:val="003201F2"/>
    <w:rsid w:val="00320609"/>
    <w:rsid w:val="00320C86"/>
    <w:rsid w:val="00320D85"/>
    <w:rsid w:val="00320E37"/>
    <w:rsid w:val="00320EA9"/>
    <w:rsid w:val="00320FFC"/>
    <w:rsid w:val="0032122A"/>
    <w:rsid w:val="00322273"/>
    <w:rsid w:val="0032251A"/>
    <w:rsid w:val="003226C7"/>
    <w:rsid w:val="003228E4"/>
    <w:rsid w:val="00322B84"/>
    <w:rsid w:val="00322F78"/>
    <w:rsid w:val="0032328D"/>
    <w:rsid w:val="0032437D"/>
    <w:rsid w:val="0032480F"/>
    <w:rsid w:val="003250F9"/>
    <w:rsid w:val="0032597A"/>
    <w:rsid w:val="00325FFE"/>
    <w:rsid w:val="00326489"/>
    <w:rsid w:val="0032670C"/>
    <w:rsid w:val="0032783B"/>
    <w:rsid w:val="00327860"/>
    <w:rsid w:val="00327AE6"/>
    <w:rsid w:val="00327FBF"/>
    <w:rsid w:val="003303C1"/>
    <w:rsid w:val="00330E98"/>
    <w:rsid w:val="00331591"/>
    <w:rsid w:val="00332078"/>
    <w:rsid w:val="00333832"/>
    <w:rsid w:val="003338E2"/>
    <w:rsid w:val="00334296"/>
    <w:rsid w:val="0033460E"/>
    <w:rsid w:val="003347BE"/>
    <w:rsid w:val="00334A85"/>
    <w:rsid w:val="00334C2C"/>
    <w:rsid w:val="0033585F"/>
    <w:rsid w:val="003358F3"/>
    <w:rsid w:val="00335C1C"/>
    <w:rsid w:val="00335E9E"/>
    <w:rsid w:val="00336082"/>
    <w:rsid w:val="003365B0"/>
    <w:rsid w:val="00336B8D"/>
    <w:rsid w:val="00336BE7"/>
    <w:rsid w:val="003372C9"/>
    <w:rsid w:val="00340267"/>
    <w:rsid w:val="00340A94"/>
    <w:rsid w:val="00340E66"/>
    <w:rsid w:val="00340FDC"/>
    <w:rsid w:val="00341775"/>
    <w:rsid w:val="003419FA"/>
    <w:rsid w:val="003422EC"/>
    <w:rsid w:val="003425A5"/>
    <w:rsid w:val="0034272A"/>
    <w:rsid w:val="00342DFE"/>
    <w:rsid w:val="003430B0"/>
    <w:rsid w:val="003433CA"/>
    <w:rsid w:val="0034357A"/>
    <w:rsid w:val="003444B2"/>
    <w:rsid w:val="00344E17"/>
    <w:rsid w:val="00344E7E"/>
    <w:rsid w:val="00344F7C"/>
    <w:rsid w:val="00346924"/>
    <w:rsid w:val="00346B01"/>
    <w:rsid w:val="0034764A"/>
    <w:rsid w:val="00347E50"/>
    <w:rsid w:val="00347F28"/>
    <w:rsid w:val="0035038C"/>
    <w:rsid w:val="003503E9"/>
    <w:rsid w:val="00350932"/>
    <w:rsid w:val="00350A85"/>
    <w:rsid w:val="00350BE7"/>
    <w:rsid w:val="00350FFB"/>
    <w:rsid w:val="00351129"/>
    <w:rsid w:val="0035175D"/>
    <w:rsid w:val="00351CC0"/>
    <w:rsid w:val="00351ED7"/>
    <w:rsid w:val="00352500"/>
    <w:rsid w:val="0035295E"/>
    <w:rsid w:val="00352CA4"/>
    <w:rsid w:val="00352DB0"/>
    <w:rsid w:val="0035379C"/>
    <w:rsid w:val="0035386B"/>
    <w:rsid w:val="00353A15"/>
    <w:rsid w:val="00353EEF"/>
    <w:rsid w:val="00353FCE"/>
    <w:rsid w:val="00355430"/>
    <w:rsid w:val="00355C23"/>
    <w:rsid w:val="00356501"/>
    <w:rsid w:val="0035779D"/>
    <w:rsid w:val="00357AE2"/>
    <w:rsid w:val="00357CCC"/>
    <w:rsid w:val="00360146"/>
    <w:rsid w:val="003606F0"/>
    <w:rsid w:val="00360D49"/>
    <w:rsid w:val="00361407"/>
    <w:rsid w:val="003615EC"/>
    <w:rsid w:val="003620DA"/>
    <w:rsid w:val="003631F6"/>
    <w:rsid w:val="00363266"/>
    <w:rsid w:val="00363463"/>
    <w:rsid w:val="00363E16"/>
    <w:rsid w:val="00364A80"/>
    <w:rsid w:val="00365562"/>
    <w:rsid w:val="003657A5"/>
    <w:rsid w:val="00365945"/>
    <w:rsid w:val="00365C87"/>
    <w:rsid w:val="00365D18"/>
    <w:rsid w:val="00366BF9"/>
    <w:rsid w:val="003676FF"/>
    <w:rsid w:val="0036780C"/>
    <w:rsid w:val="00367DE1"/>
    <w:rsid w:val="0037026B"/>
    <w:rsid w:val="00370BBB"/>
    <w:rsid w:val="003713C5"/>
    <w:rsid w:val="0037176E"/>
    <w:rsid w:val="00371A8C"/>
    <w:rsid w:val="00371EE2"/>
    <w:rsid w:val="00372466"/>
    <w:rsid w:val="00372590"/>
    <w:rsid w:val="00373C16"/>
    <w:rsid w:val="00373DD6"/>
    <w:rsid w:val="00374803"/>
    <w:rsid w:val="00374983"/>
    <w:rsid w:val="00374CCD"/>
    <w:rsid w:val="00375203"/>
    <w:rsid w:val="003752DA"/>
    <w:rsid w:val="003753F2"/>
    <w:rsid w:val="00375F8A"/>
    <w:rsid w:val="00375FDE"/>
    <w:rsid w:val="003761A6"/>
    <w:rsid w:val="00376DEB"/>
    <w:rsid w:val="00377442"/>
    <w:rsid w:val="003776C8"/>
    <w:rsid w:val="00377EB4"/>
    <w:rsid w:val="00380DC4"/>
    <w:rsid w:val="003810D9"/>
    <w:rsid w:val="00381567"/>
    <w:rsid w:val="003816A5"/>
    <w:rsid w:val="0038202D"/>
    <w:rsid w:val="0038226F"/>
    <w:rsid w:val="003823CF"/>
    <w:rsid w:val="00382885"/>
    <w:rsid w:val="00382AE6"/>
    <w:rsid w:val="00382C39"/>
    <w:rsid w:val="00382FC4"/>
    <w:rsid w:val="00383470"/>
    <w:rsid w:val="00383F1F"/>
    <w:rsid w:val="00384C92"/>
    <w:rsid w:val="00384EB8"/>
    <w:rsid w:val="003855BD"/>
    <w:rsid w:val="003862FE"/>
    <w:rsid w:val="00387108"/>
    <w:rsid w:val="0038772D"/>
    <w:rsid w:val="00387780"/>
    <w:rsid w:val="003879F9"/>
    <w:rsid w:val="00387B49"/>
    <w:rsid w:val="003900AD"/>
    <w:rsid w:val="00390FED"/>
    <w:rsid w:val="003914A3"/>
    <w:rsid w:val="00391D62"/>
    <w:rsid w:val="003920F7"/>
    <w:rsid w:val="00392282"/>
    <w:rsid w:val="00392698"/>
    <w:rsid w:val="003928BE"/>
    <w:rsid w:val="00392BE1"/>
    <w:rsid w:val="00392DE1"/>
    <w:rsid w:val="00392FA1"/>
    <w:rsid w:val="00393295"/>
    <w:rsid w:val="00393D1F"/>
    <w:rsid w:val="00393DDA"/>
    <w:rsid w:val="00394D87"/>
    <w:rsid w:val="00395B42"/>
    <w:rsid w:val="003969F1"/>
    <w:rsid w:val="00396B0C"/>
    <w:rsid w:val="00396C04"/>
    <w:rsid w:val="00396EAD"/>
    <w:rsid w:val="003970DE"/>
    <w:rsid w:val="00397E6D"/>
    <w:rsid w:val="003A000C"/>
    <w:rsid w:val="003A00A1"/>
    <w:rsid w:val="003A00D8"/>
    <w:rsid w:val="003A0114"/>
    <w:rsid w:val="003A0455"/>
    <w:rsid w:val="003A13A0"/>
    <w:rsid w:val="003A14F8"/>
    <w:rsid w:val="003A167F"/>
    <w:rsid w:val="003A2362"/>
    <w:rsid w:val="003A2930"/>
    <w:rsid w:val="003A3A72"/>
    <w:rsid w:val="003A3E79"/>
    <w:rsid w:val="003A3EFB"/>
    <w:rsid w:val="003A4262"/>
    <w:rsid w:val="003A4369"/>
    <w:rsid w:val="003A458D"/>
    <w:rsid w:val="003A4973"/>
    <w:rsid w:val="003A4A6A"/>
    <w:rsid w:val="003A53F7"/>
    <w:rsid w:val="003A5913"/>
    <w:rsid w:val="003A5942"/>
    <w:rsid w:val="003A62EB"/>
    <w:rsid w:val="003A67B4"/>
    <w:rsid w:val="003A6CB5"/>
    <w:rsid w:val="003B0AF9"/>
    <w:rsid w:val="003B0F6F"/>
    <w:rsid w:val="003B10A9"/>
    <w:rsid w:val="003B132D"/>
    <w:rsid w:val="003B15EA"/>
    <w:rsid w:val="003B193F"/>
    <w:rsid w:val="003B1B1F"/>
    <w:rsid w:val="003B2231"/>
    <w:rsid w:val="003B2AF5"/>
    <w:rsid w:val="003B2D7D"/>
    <w:rsid w:val="003B2D86"/>
    <w:rsid w:val="003B32C4"/>
    <w:rsid w:val="003B3ED5"/>
    <w:rsid w:val="003B49CD"/>
    <w:rsid w:val="003B4D56"/>
    <w:rsid w:val="003B54FA"/>
    <w:rsid w:val="003B56A6"/>
    <w:rsid w:val="003B5732"/>
    <w:rsid w:val="003B658F"/>
    <w:rsid w:val="003B6826"/>
    <w:rsid w:val="003B6B2E"/>
    <w:rsid w:val="003B6CFA"/>
    <w:rsid w:val="003B79AA"/>
    <w:rsid w:val="003B7EDE"/>
    <w:rsid w:val="003B7F68"/>
    <w:rsid w:val="003C0748"/>
    <w:rsid w:val="003C0938"/>
    <w:rsid w:val="003C0C7A"/>
    <w:rsid w:val="003C1E61"/>
    <w:rsid w:val="003C2470"/>
    <w:rsid w:val="003C2B72"/>
    <w:rsid w:val="003C2E77"/>
    <w:rsid w:val="003C306B"/>
    <w:rsid w:val="003C30EF"/>
    <w:rsid w:val="003C3951"/>
    <w:rsid w:val="003C408E"/>
    <w:rsid w:val="003C417A"/>
    <w:rsid w:val="003C5017"/>
    <w:rsid w:val="003C519B"/>
    <w:rsid w:val="003C56A3"/>
    <w:rsid w:val="003C7DBF"/>
    <w:rsid w:val="003D023D"/>
    <w:rsid w:val="003D023F"/>
    <w:rsid w:val="003D02C5"/>
    <w:rsid w:val="003D0E91"/>
    <w:rsid w:val="003D1CAD"/>
    <w:rsid w:val="003D1FB2"/>
    <w:rsid w:val="003D2E09"/>
    <w:rsid w:val="003D3230"/>
    <w:rsid w:val="003D34FE"/>
    <w:rsid w:val="003D37C1"/>
    <w:rsid w:val="003D38FF"/>
    <w:rsid w:val="003D3BAE"/>
    <w:rsid w:val="003D3EB7"/>
    <w:rsid w:val="003D46F9"/>
    <w:rsid w:val="003D51CB"/>
    <w:rsid w:val="003D52A0"/>
    <w:rsid w:val="003D61F1"/>
    <w:rsid w:val="003D6283"/>
    <w:rsid w:val="003D63FF"/>
    <w:rsid w:val="003D7B4E"/>
    <w:rsid w:val="003E0B47"/>
    <w:rsid w:val="003E0F24"/>
    <w:rsid w:val="003E1501"/>
    <w:rsid w:val="003E15B2"/>
    <w:rsid w:val="003E1957"/>
    <w:rsid w:val="003E19BC"/>
    <w:rsid w:val="003E2A38"/>
    <w:rsid w:val="003E310E"/>
    <w:rsid w:val="003E3390"/>
    <w:rsid w:val="003E38D9"/>
    <w:rsid w:val="003E3B2F"/>
    <w:rsid w:val="003E3D7E"/>
    <w:rsid w:val="003E4296"/>
    <w:rsid w:val="003E50C5"/>
    <w:rsid w:val="003E555C"/>
    <w:rsid w:val="003E5A51"/>
    <w:rsid w:val="003E5C44"/>
    <w:rsid w:val="003E5CD2"/>
    <w:rsid w:val="003E6850"/>
    <w:rsid w:val="003E6F77"/>
    <w:rsid w:val="003E6FFD"/>
    <w:rsid w:val="003E7231"/>
    <w:rsid w:val="003E7460"/>
    <w:rsid w:val="003E7685"/>
    <w:rsid w:val="003E7784"/>
    <w:rsid w:val="003E7DD1"/>
    <w:rsid w:val="003F0346"/>
    <w:rsid w:val="003F03BA"/>
    <w:rsid w:val="003F10B9"/>
    <w:rsid w:val="003F3546"/>
    <w:rsid w:val="003F3BDF"/>
    <w:rsid w:val="003F3C85"/>
    <w:rsid w:val="003F3DEE"/>
    <w:rsid w:val="003F4006"/>
    <w:rsid w:val="003F44C4"/>
    <w:rsid w:val="003F464C"/>
    <w:rsid w:val="003F4C93"/>
    <w:rsid w:val="003F4CD9"/>
    <w:rsid w:val="003F4F13"/>
    <w:rsid w:val="003F50B1"/>
    <w:rsid w:val="003F53D4"/>
    <w:rsid w:val="003F5525"/>
    <w:rsid w:val="003F59DF"/>
    <w:rsid w:val="003F6962"/>
    <w:rsid w:val="003F7413"/>
    <w:rsid w:val="003F7517"/>
    <w:rsid w:val="003F7CDE"/>
    <w:rsid w:val="004010C6"/>
    <w:rsid w:val="00401EC4"/>
    <w:rsid w:val="00402094"/>
    <w:rsid w:val="00402217"/>
    <w:rsid w:val="00402DCF"/>
    <w:rsid w:val="00403154"/>
    <w:rsid w:val="00403EBA"/>
    <w:rsid w:val="004058E9"/>
    <w:rsid w:val="0040607D"/>
    <w:rsid w:val="004062A8"/>
    <w:rsid w:val="00406D56"/>
    <w:rsid w:val="00407542"/>
    <w:rsid w:val="004075D0"/>
    <w:rsid w:val="00407C49"/>
    <w:rsid w:val="00407E2F"/>
    <w:rsid w:val="004103AC"/>
    <w:rsid w:val="0041067F"/>
    <w:rsid w:val="0041084F"/>
    <w:rsid w:val="0041176B"/>
    <w:rsid w:val="00411A43"/>
    <w:rsid w:val="004121C6"/>
    <w:rsid w:val="00412CF1"/>
    <w:rsid w:val="00412FAD"/>
    <w:rsid w:val="0041301B"/>
    <w:rsid w:val="004130EC"/>
    <w:rsid w:val="00413391"/>
    <w:rsid w:val="004135BD"/>
    <w:rsid w:val="00413E39"/>
    <w:rsid w:val="004144B6"/>
    <w:rsid w:val="00414EEF"/>
    <w:rsid w:val="00415E01"/>
    <w:rsid w:val="00416623"/>
    <w:rsid w:val="0041668A"/>
    <w:rsid w:val="00416AE2"/>
    <w:rsid w:val="00416B44"/>
    <w:rsid w:val="00416D5E"/>
    <w:rsid w:val="00416D7D"/>
    <w:rsid w:val="00416D87"/>
    <w:rsid w:val="0041744F"/>
    <w:rsid w:val="0041751F"/>
    <w:rsid w:val="00417713"/>
    <w:rsid w:val="00417920"/>
    <w:rsid w:val="004206EA"/>
    <w:rsid w:val="004211F8"/>
    <w:rsid w:val="00421FE3"/>
    <w:rsid w:val="004233A1"/>
    <w:rsid w:val="004235D9"/>
    <w:rsid w:val="00423799"/>
    <w:rsid w:val="00423872"/>
    <w:rsid w:val="00423D24"/>
    <w:rsid w:val="00423EC1"/>
    <w:rsid w:val="00424D49"/>
    <w:rsid w:val="0042629B"/>
    <w:rsid w:val="004277D1"/>
    <w:rsid w:val="00427AD0"/>
    <w:rsid w:val="00427D68"/>
    <w:rsid w:val="00430B8D"/>
    <w:rsid w:val="00431181"/>
    <w:rsid w:val="00431367"/>
    <w:rsid w:val="00431E11"/>
    <w:rsid w:val="004324FE"/>
    <w:rsid w:val="00432B47"/>
    <w:rsid w:val="00434645"/>
    <w:rsid w:val="00435553"/>
    <w:rsid w:val="004361C7"/>
    <w:rsid w:val="00437704"/>
    <w:rsid w:val="00437DE5"/>
    <w:rsid w:val="00437FF6"/>
    <w:rsid w:val="00440613"/>
    <w:rsid w:val="00440CD9"/>
    <w:rsid w:val="004413F0"/>
    <w:rsid w:val="00441407"/>
    <w:rsid w:val="004416CF"/>
    <w:rsid w:val="00441BCD"/>
    <w:rsid w:val="00442045"/>
    <w:rsid w:val="00442178"/>
    <w:rsid w:val="00442C94"/>
    <w:rsid w:val="00442D44"/>
    <w:rsid w:val="00443335"/>
    <w:rsid w:val="00443991"/>
    <w:rsid w:val="00443AB3"/>
    <w:rsid w:val="004449B3"/>
    <w:rsid w:val="00444C35"/>
    <w:rsid w:val="00445136"/>
    <w:rsid w:val="0044546B"/>
    <w:rsid w:val="0044586F"/>
    <w:rsid w:val="00445C63"/>
    <w:rsid w:val="00445F67"/>
    <w:rsid w:val="004461C8"/>
    <w:rsid w:val="00446486"/>
    <w:rsid w:val="00446AB1"/>
    <w:rsid w:val="0044711D"/>
    <w:rsid w:val="0044788E"/>
    <w:rsid w:val="00447ED8"/>
    <w:rsid w:val="0045064C"/>
    <w:rsid w:val="004515EC"/>
    <w:rsid w:val="00452237"/>
    <w:rsid w:val="004527E5"/>
    <w:rsid w:val="00453304"/>
    <w:rsid w:val="0045345B"/>
    <w:rsid w:val="00453D52"/>
    <w:rsid w:val="00453DE7"/>
    <w:rsid w:val="004540D9"/>
    <w:rsid w:val="004542E1"/>
    <w:rsid w:val="00454361"/>
    <w:rsid w:val="00454D6B"/>
    <w:rsid w:val="00454F5C"/>
    <w:rsid w:val="00455C00"/>
    <w:rsid w:val="00456134"/>
    <w:rsid w:val="0045634B"/>
    <w:rsid w:val="0045681C"/>
    <w:rsid w:val="00456899"/>
    <w:rsid w:val="00456951"/>
    <w:rsid w:val="00456A11"/>
    <w:rsid w:val="00457853"/>
    <w:rsid w:val="00457ECB"/>
    <w:rsid w:val="00460A24"/>
    <w:rsid w:val="00461551"/>
    <w:rsid w:val="00461BFD"/>
    <w:rsid w:val="00461D47"/>
    <w:rsid w:val="004622F1"/>
    <w:rsid w:val="0046312F"/>
    <w:rsid w:val="00463592"/>
    <w:rsid w:val="00464994"/>
    <w:rsid w:val="00464BC6"/>
    <w:rsid w:val="00464FC1"/>
    <w:rsid w:val="00465020"/>
    <w:rsid w:val="0046578B"/>
    <w:rsid w:val="00465C3C"/>
    <w:rsid w:val="00465ECF"/>
    <w:rsid w:val="00465FC5"/>
    <w:rsid w:val="0046629D"/>
    <w:rsid w:val="00466525"/>
    <w:rsid w:val="0046678A"/>
    <w:rsid w:val="00466E7B"/>
    <w:rsid w:val="004670BE"/>
    <w:rsid w:val="00467486"/>
    <w:rsid w:val="004679BE"/>
    <w:rsid w:val="00467CB1"/>
    <w:rsid w:val="004703E6"/>
    <w:rsid w:val="0047060D"/>
    <w:rsid w:val="0047123B"/>
    <w:rsid w:val="004712BF"/>
    <w:rsid w:val="00471942"/>
    <w:rsid w:val="00472237"/>
    <w:rsid w:val="004723DE"/>
    <w:rsid w:val="00472903"/>
    <w:rsid w:val="00473E6E"/>
    <w:rsid w:val="004743AE"/>
    <w:rsid w:val="0047455B"/>
    <w:rsid w:val="00475364"/>
    <w:rsid w:val="00475569"/>
    <w:rsid w:val="00475958"/>
    <w:rsid w:val="004762D1"/>
    <w:rsid w:val="004765E9"/>
    <w:rsid w:val="00476A9C"/>
    <w:rsid w:val="0047742D"/>
    <w:rsid w:val="00480405"/>
    <w:rsid w:val="00481981"/>
    <w:rsid w:val="004819F3"/>
    <w:rsid w:val="00482346"/>
    <w:rsid w:val="00482AE4"/>
    <w:rsid w:val="0048319D"/>
    <w:rsid w:val="004840AC"/>
    <w:rsid w:val="00484FA2"/>
    <w:rsid w:val="00485809"/>
    <w:rsid w:val="00485B9D"/>
    <w:rsid w:val="004863D8"/>
    <w:rsid w:val="0048662E"/>
    <w:rsid w:val="00487145"/>
    <w:rsid w:val="0048759C"/>
    <w:rsid w:val="00487B87"/>
    <w:rsid w:val="00487FD0"/>
    <w:rsid w:val="00490899"/>
    <w:rsid w:val="00490A21"/>
    <w:rsid w:val="00490AEA"/>
    <w:rsid w:val="004911E2"/>
    <w:rsid w:val="00491A26"/>
    <w:rsid w:val="00491B2E"/>
    <w:rsid w:val="00491FE1"/>
    <w:rsid w:val="00492D41"/>
    <w:rsid w:val="004934BD"/>
    <w:rsid w:val="004939EB"/>
    <w:rsid w:val="00493A0C"/>
    <w:rsid w:val="00493C5A"/>
    <w:rsid w:val="00494870"/>
    <w:rsid w:val="0049489F"/>
    <w:rsid w:val="00495A82"/>
    <w:rsid w:val="00495EC2"/>
    <w:rsid w:val="00496D96"/>
    <w:rsid w:val="00496E0E"/>
    <w:rsid w:val="00496F8A"/>
    <w:rsid w:val="00496FA0"/>
    <w:rsid w:val="00497ADF"/>
    <w:rsid w:val="00497C66"/>
    <w:rsid w:val="00497F5D"/>
    <w:rsid w:val="004A0335"/>
    <w:rsid w:val="004A05D0"/>
    <w:rsid w:val="004A09B9"/>
    <w:rsid w:val="004A1282"/>
    <w:rsid w:val="004A16BD"/>
    <w:rsid w:val="004A1C40"/>
    <w:rsid w:val="004A1FE7"/>
    <w:rsid w:val="004A258E"/>
    <w:rsid w:val="004A409C"/>
    <w:rsid w:val="004A425C"/>
    <w:rsid w:val="004A4C62"/>
    <w:rsid w:val="004A5004"/>
    <w:rsid w:val="004A50EB"/>
    <w:rsid w:val="004A5B8D"/>
    <w:rsid w:val="004A5BE0"/>
    <w:rsid w:val="004A5BF5"/>
    <w:rsid w:val="004A6049"/>
    <w:rsid w:val="004A6557"/>
    <w:rsid w:val="004A6AD5"/>
    <w:rsid w:val="004A75E3"/>
    <w:rsid w:val="004B04D5"/>
    <w:rsid w:val="004B0BDA"/>
    <w:rsid w:val="004B1563"/>
    <w:rsid w:val="004B18F5"/>
    <w:rsid w:val="004B1AFA"/>
    <w:rsid w:val="004B1BC0"/>
    <w:rsid w:val="004B1F63"/>
    <w:rsid w:val="004B2060"/>
    <w:rsid w:val="004B2A36"/>
    <w:rsid w:val="004B2DB9"/>
    <w:rsid w:val="004B38CE"/>
    <w:rsid w:val="004B546A"/>
    <w:rsid w:val="004B5CBC"/>
    <w:rsid w:val="004B6283"/>
    <w:rsid w:val="004B6315"/>
    <w:rsid w:val="004B6D44"/>
    <w:rsid w:val="004B6EA2"/>
    <w:rsid w:val="004C05A2"/>
    <w:rsid w:val="004C0885"/>
    <w:rsid w:val="004C0F2B"/>
    <w:rsid w:val="004C1047"/>
    <w:rsid w:val="004C180A"/>
    <w:rsid w:val="004C1B01"/>
    <w:rsid w:val="004C1BB3"/>
    <w:rsid w:val="004C2D66"/>
    <w:rsid w:val="004C3487"/>
    <w:rsid w:val="004C35D5"/>
    <w:rsid w:val="004C4054"/>
    <w:rsid w:val="004C5042"/>
    <w:rsid w:val="004C5122"/>
    <w:rsid w:val="004C53B1"/>
    <w:rsid w:val="004C558C"/>
    <w:rsid w:val="004C5DF8"/>
    <w:rsid w:val="004C6413"/>
    <w:rsid w:val="004C6A99"/>
    <w:rsid w:val="004C7662"/>
    <w:rsid w:val="004C7B59"/>
    <w:rsid w:val="004C7E4A"/>
    <w:rsid w:val="004D03B2"/>
    <w:rsid w:val="004D0923"/>
    <w:rsid w:val="004D0926"/>
    <w:rsid w:val="004D09B5"/>
    <w:rsid w:val="004D137C"/>
    <w:rsid w:val="004D2041"/>
    <w:rsid w:val="004D2459"/>
    <w:rsid w:val="004D249B"/>
    <w:rsid w:val="004D2A0B"/>
    <w:rsid w:val="004D2E16"/>
    <w:rsid w:val="004D3A45"/>
    <w:rsid w:val="004D3A6A"/>
    <w:rsid w:val="004D3BCB"/>
    <w:rsid w:val="004D3E92"/>
    <w:rsid w:val="004D3F1A"/>
    <w:rsid w:val="004D567C"/>
    <w:rsid w:val="004D56C9"/>
    <w:rsid w:val="004D56DA"/>
    <w:rsid w:val="004D5C94"/>
    <w:rsid w:val="004D609D"/>
    <w:rsid w:val="004D62D1"/>
    <w:rsid w:val="004D66A0"/>
    <w:rsid w:val="004D6D8C"/>
    <w:rsid w:val="004D71C2"/>
    <w:rsid w:val="004D77B6"/>
    <w:rsid w:val="004D791C"/>
    <w:rsid w:val="004D79F3"/>
    <w:rsid w:val="004D7B11"/>
    <w:rsid w:val="004D7EDE"/>
    <w:rsid w:val="004E000F"/>
    <w:rsid w:val="004E0338"/>
    <w:rsid w:val="004E11FC"/>
    <w:rsid w:val="004E13F9"/>
    <w:rsid w:val="004E2D15"/>
    <w:rsid w:val="004E2D29"/>
    <w:rsid w:val="004E39CA"/>
    <w:rsid w:val="004E3DBE"/>
    <w:rsid w:val="004E4097"/>
    <w:rsid w:val="004E40CE"/>
    <w:rsid w:val="004E46FB"/>
    <w:rsid w:val="004E48D6"/>
    <w:rsid w:val="004E4D69"/>
    <w:rsid w:val="004E5700"/>
    <w:rsid w:val="004E5725"/>
    <w:rsid w:val="004E57A8"/>
    <w:rsid w:val="004E5ADD"/>
    <w:rsid w:val="004E5E09"/>
    <w:rsid w:val="004E6363"/>
    <w:rsid w:val="004E6580"/>
    <w:rsid w:val="004E6BD5"/>
    <w:rsid w:val="004E7E88"/>
    <w:rsid w:val="004F0CF1"/>
    <w:rsid w:val="004F18B0"/>
    <w:rsid w:val="004F21C0"/>
    <w:rsid w:val="004F2716"/>
    <w:rsid w:val="004F2CBB"/>
    <w:rsid w:val="004F44A8"/>
    <w:rsid w:val="004F4B89"/>
    <w:rsid w:val="004F5240"/>
    <w:rsid w:val="004F549A"/>
    <w:rsid w:val="004F5546"/>
    <w:rsid w:val="004F59A2"/>
    <w:rsid w:val="004F66D3"/>
    <w:rsid w:val="004F69DE"/>
    <w:rsid w:val="004F715A"/>
    <w:rsid w:val="005001D4"/>
    <w:rsid w:val="005009B4"/>
    <w:rsid w:val="005016EA"/>
    <w:rsid w:val="00502554"/>
    <w:rsid w:val="00502AAC"/>
    <w:rsid w:val="00503363"/>
    <w:rsid w:val="005035F7"/>
    <w:rsid w:val="00503B61"/>
    <w:rsid w:val="0050461D"/>
    <w:rsid w:val="00504C06"/>
    <w:rsid w:val="00504DCF"/>
    <w:rsid w:val="0050518F"/>
    <w:rsid w:val="0050534A"/>
    <w:rsid w:val="0050562D"/>
    <w:rsid w:val="00505B96"/>
    <w:rsid w:val="00505FC4"/>
    <w:rsid w:val="00506551"/>
    <w:rsid w:val="0050663C"/>
    <w:rsid w:val="00506753"/>
    <w:rsid w:val="00506AD6"/>
    <w:rsid w:val="00507E0C"/>
    <w:rsid w:val="0051050B"/>
    <w:rsid w:val="00510A8A"/>
    <w:rsid w:val="00510BBF"/>
    <w:rsid w:val="005110CB"/>
    <w:rsid w:val="005110FE"/>
    <w:rsid w:val="0051163C"/>
    <w:rsid w:val="00511C39"/>
    <w:rsid w:val="0051397C"/>
    <w:rsid w:val="00513B27"/>
    <w:rsid w:val="00514392"/>
    <w:rsid w:val="00514849"/>
    <w:rsid w:val="0051488E"/>
    <w:rsid w:val="00514916"/>
    <w:rsid w:val="00514D76"/>
    <w:rsid w:val="0051565F"/>
    <w:rsid w:val="0051743F"/>
    <w:rsid w:val="00517465"/>
    <w:rsid w:val="005175D4"/>
    <w:rsid w:val="00517E69"/>
    <w:rsid w:val="00520280"/>
    <w:rsid w:val="0052072C"/>
    <w:rsid w:val="0052126D"/>
    <w:rsid w:val="005214CF"/>
    <w:rsid w:val="0052191A"/>
    <w:rsid w:val="00521D15"/>
    <w:rsid w:val="00523F94"/>
    <w:rsid w:val="00524CA5"/>
    <w:rsid w:val="00524DEC"/>
    <w:rsid w:val="00525FBE"/>
    <w:rsid w:val="005267A8"/>
    <w:rsid w:val="00526B86"/>
    <w:rsid w:val="00530D3D"/>
    <w:rsid w:val="00531042"/>
    <w:rsid w:val="00531568"/>
    <w:rsid w:val="0053165F"/>
    <w:rsid w:val="00533128"/>
    <w:rsid w:val="005331E7"/>
    <w:rsid w:val="005332A6"/>
    <w:rsid w:val="005335C6"/>
    <w:rsid w:val="005336A6"/>
    <w:rsid w:val="00533DD1"/>
    <w:rsid w:val="005344E3"/>
    <w:rsid w:val="0053459C"/>
    <w:rsid w:val="00534869"/>
    <w:rsid w:val="005348D7"/>
    <w:rsid w:val="00534BB0"/>
    <w:rsid w:val="00534D9C"/>
    <w:rsid w:val="00534EAB"/>
    <w:rsid w:val="00536499"/>
    <w:rsid w:val="005364A2"/>
    <w:rsid w:val="00537306"/>
    <w:rsid w:val="00540317"/>
    <w:rsid w:val="00541742"/>
    <w:rsid w:val="005421C2"/>
    <w:rsid w:val="00542A8D"/>
    <w:rsid w:val="00543485"/>
    <w:rsid w:val="0054381C"/>
    <w:rsid w:val="00544546"/>
    <w:rsid w:val="00544F4B"/>
    <w:rsid w:val="00545A26"/>
    <w:rsid w:val="00545D59"/>
    <w:rsid w:val="00546661"/>
    <w:rsid w:val="00546854"/>
    <w:rsid w:val="00546B63"/>
    <w:rsid w:val="00546C54"/>
    <w:rsid w:val="00546FB5"/>
    <w:rsid w:val="005478D8"/>
    <w:rsid w:val="005502B0"/>
    <w:rsid w:val="00550921"/>
    <w:rsid w:val="00550D50"/>
    <w:rsid w:val="005529E3"/>
    <w:rsid w:val="00553594"/>
    <w:rsid w:val="005560AD"/>
    <w:rsid w:val="0055655E"/>
    <w:rsid w:val="0055685E"/>
    <w:rsid w:val="0055685F"/>
    <w:rsid w:val="00556AC6"/>
    <w:rsid w:val="005603E7"/>
    <w:rsid w:val="00560BBC"/>
    <w:rsid w:val="005615E4"/>
    <w:rsid w:val="00562677"/>
    <w:rsid w:val="00562940"/>
    <w:rsid w:val="005635BB"/>
    <w:rsid w:val="00563941"/>
    <w:rsid w:val="005640AD"/>
    <w:rsid w:val="0056438F"/>
    <w:rsid w:val="00565005"/>
    <w:rsid w:val="0056510E"/>
    <w:rsid w:val="005656BE"/>
    <w:rsid w:val="00566A95"/>
    <w:rsid w:val="00566C6A"/>
    <w:rsid w:val="0057050F"/>
    <w:rsid w:val="00570693"/>
    <w:rsid w:val="00570E4A"/>
    <w:rsid w:val="00571119"/>
    <w:rsid w:val="00571762"/>
    <w:rsid w:val="00571C2A"/>
    <w:rsid w:val="00572768"/>
    <w:rsid w:val="00572C96"/>
    <w:rsid w:val="00573ADD"/>
    <w:rsid w:val="00573CEF"/>
    <w:rsid w:val="00573F9A"/>
    <w:rsid w:val="00574694"/>
    <w:rsid w:val="00575601"/>
    <w:rsid w:val="00575E76"/>
    <w:rsid w:val="00576376"/>
    <w:rsid w:val="005763B1"/>
    <w:rsid w:val="005766E5"/>
    <w:rsid w:val="005772E5"/>
    <w:rsid w:val="00577E3D"/>
    <w:rsid w:val="00580143"/>
    <w:rsid w:val="005802A6"/>
    <w:rsid w:val="005808E4"/>
    <w:rsid w:val="00580CD4"/>
    <w:rsid w:val="0058103E"/>
    <w:rsid w:val="00581736"/>
    <w:rsid w:val="00581A7D"/>
    <w:rsid w:val="005824ED"/>
    <w:rsid w:val="0058281B"/>
    <w:rsid w:val="00583784"/>
    <w:rsid w:val="00584976"/>
    <w:rsid w:val="00584AB5"/>
    <w:rsid w:val="00585047"/>
    <w:rsid w:val="0058636A"/>
    <w:rsid w:val="00586C20"/>
    <w:rsid w:val="00586D42"/>
    <w:rsid w:val="005873E8"/>
    <w:rsid w:val="00587EC8"/>
    <w:rsid w:val="005905D9"/>
    <w:rsid w:val="005910D6"/>
    <w:rsid w:val="005913A3"/>
    <w:rsid w:val="0059314E"/>
    <w:rsid w:val="0059392E"/>
    <w:rsid w:val="00594B2E"/>
    <w:rsid w:val="00594C32"/>
    <w:rsid w:val="00594E13"/>
    <w:rsid w:val="005950F0"/>
    <w:rsid w:val="00596C7B"/>
    <w:rsid w:val="00596CA0"/>
    <w:rsid w:val="005A0DB3"/>
    <w:rsid w:val="005A1127"/>
    <w:rsid w:val="005A22BB"/>
    <w:rsid w:val="005A26DA"/>
    <w:rsid w:val="005A2810"/>
    <w:rsid w:val="005A3220"/>
    <w:rsid w:val="005A43A8"/>
    <w:rsid w:val="005A4913"/>
    <w:rsid w:val="005A5056"/>
    <w:rsid w:val="005A522A"/>
    <w:rsid w:val="005A5280"/>
    <w:rsid w:val="005A5714"/>
    <w:rsid w:val="005A5823"/>
    <w:rsid w:val="005A5A07"/>
    <w:rsid w:val="005A63D7"/>
    <w:rsid w:val="005A6D6B"/>
    <w:rsid w:val="005A7373"/>
    <w:rsid w:val="005A7416"/>
    <w:rsid w:val="005B0934"/>
    <w:rsid w:val="005B093B"/>
    <w:rsid w:val="005B0DB6"/>
    <w:rsid w:val="005B1604"/>
    <w:rsid w:val="005B2062"/>
    <w:rsid w:val="005B2635"/>
    <w:rsid w:val="005B2C42"/>
    <w:rsid w:val="005B38FD"/>
    <w:rsid w:val="005B409A"/>
    <w:rsid w:val="005B4464"/>
    <w:rsid w:val="005B4E0F"/>
    <w:rsid w:val="005B5A83"/>
    <w:rsid w:val="005B5C5F"/>
    <w:rsid w:val="005B6877"/>
    <w:rsid w:val="005B6A9F"/>
    <w:rsid w:val="005B6C50"/>
    <w:rsid w:val="005B6EE0"/>
    <w:rsid w:val="005B7001"/>
    <w:rsid w:val="005B7622"/>
    <w:rsid w:val="005B7F53"/>
    <w:rsid w:val="005C0A8F"/>
    <w:rsid w:val="005C13EA"/>
    <w:rsid w:val="005C2EC1"/>
    <w:rsid w:val="005C3CE3"/>
    <w:rsid w:val="005C4A38"/>
    <w:rsid w:val="005C4EE2"/>
    <w:rsid w:val="005C50C8"/>
    <w:rsid w:val="005C5124"/>
    <w:rsid w:val="005C51E8"/>
    <w:rsid w:val="005C5418"/>
    <w:rsid w:val="005C5FDF"/>
    <w:rsid w:val="005C6F91"/>
    <w:rsid w:val="005C7241"/>
    <w:rsid w:val="005C7E55"/>
    <w:rsid w:val="005C7EE7"/>
    <w:rsid w:val="005D0C65"/>
    <w:rsid w:val="005D1040"/>
    <w:rsid w:val="005D160B"/>
    <w:rsid w:val="005D16D8"/>
    <w:rsid w:val="005D1D1D"/>
    <w:rsid w:val="005D1E51"/>
    <w:rsid w:val="005D25B1"/>
    <w:rsid w:val="005D35AB"/>
    <w:rsid w:val="005D43CB"/>
    <w:rsid w:val="005D44A0"/>
    <w:rsid w:val="005D53FA"/>
    <w:rsid w:val="005D575E"/>
    <w:rsid w:val="005D6091"/>
    <w:rsid w:val="005D6337"/>
    <w:rsid w:val="005D65DA"/>
    <w:rsid w:val="005D68ED"/>
    <w:rsid w:val="005D6A74"/>
    <w:rsid w:val="005D7884"/>
    <w:rsid w:val="005D79E9"/>
    <w:rsid w:val="005D7C54"/>
    <w:rsid w:val="005E0210"/>
    <w:rsid w:val="005E0278"/>
    <w:rsid w:val="005E0B00"/>
    <w:rsid w:val="005E1C7E"/>
    <w:rsid w:val="005E1CC5"/>
    <w:rsid w:val="005E1E02"/>
    <w:rsid w:val="005E1F9F"/>
    <w:rsid w:val="005E2E76"/>
    <w:rsid w:val="005E4104"/>
    <w:rsid w:val="005E4210"/>
    <w:rsid w:val="005E458E"/>
    <w:rsid w:val="005E4784"/>
    <w:rsid w:val="005E4C97"/>
    <w:rsid w:val="005E59DD"/>
    <w:rsid w:val="005E65FA"/>
    <w:rsid w:val="005E6A04"/>
    <w:rsid w:val="005E7738"/>
    <w:rsid w:val="005E7B81"/>
    <w:rsid w:val="005E7CC6"/>
    <w:rsid w:val="005E7D52"/>
    <w:rsid w:val="005F198C"/>
    <w:rsid w:val="005F1E9A"/>
    <w:rsid w:val="005F2A05"/>
    <w:rsid w:val="005F2A82"/>
    <w:rsid w:val="005F2E5A"/>
    <w:rsid w:val="005F34CF"/>
    <w:rsid w:val="005F3689"/>
    <w:rsid w:val="005F3B37"/>
    <w:rsid w:val="005F44A7"/>
    <w:rsid w:val="005F53B4"/>
    <w:rsid w:val="005F5B44"/>
    <w:rsid w:val="005F5D6F"/>
    <w:rsid w:val="005F5FCC"/>
    <w:rsid w:val="005F6480"/>
    <w:rsid w:val="005F680D"/>
    <w:rsid w:val="005F688C"/>
    <w:rsid w:val="005F7DD8"/>
    <w:rsid w:val="0060075E"/>
    <w:rsid w:val="00601254"/>
    <w:rsid w:val="00601A27"/>
    <w:rsid w:val="00601A8C"/>
    <w:rsid w:val="0060230D"/>
    <w:rsid w:val="00602755"/>
    <w:rsid w:val="00602CE0"/>
    <w:rsid w:val="006039B7"/>
    <w:rsid w:val="00603AB1"/>
    <w:rsid w:val="006045FD"/>
    <w:rsid w:val="006046DB"/>
    <w:rsid w:val="006054B1"/>
    <w:rsid w:val="006054D4"/>
    <w:rsid w:val="006057A7"/>
    <w:rsid w:val="006060AF"/>
    <w:rsid w:val="0060625D"/>
    <w:rsid w:val="0060631D"/>
    <w:rsid w:val="00606B3F"/>
    <w:rsid w:val="00607702"/>
    <w:rsid w:val="00607973"/>
    <w:rsid w:val="00610836"/>
    <w:rsid w:val="00611EE4"/>
    <w:rsid w:val="00611F81"/>
    <w:rsid w:val="00612173"/>
    <w:rsid w:val="00612C92"/>
    <w:rsid w:val="00612CDE"/>
    <w:rsid w:val="00614578"/>
    <w:rsid w:val="0061520B"/>
    <w:rsid w:val="006156F9"/>
    <w:rsid w:val="0061573E"/>
    <w:rsid w:val="00615744"/>
    <w:rsid w:val="00616EC7"/>
    <w:rsid w:val="0061747B"/>
    <w:rsid w:val="0061797D"/>
    <w:rsid w:val="00617F5B"/>
    <w:rsid w:val="0062009A"/>
    <w:rsid w:val="006203BF"/>
    <w:rsid w:val="0062060E"/>
    <w:rsid w:val="006217C8"/>
    <w:rsid w:val="0062221B"/>
    <w:rsid w:val="006222F1"/>
    <w:rsid w:val="00622529"/>
    <w:rsid w:val="0062315B"/>
    <w:rsid w:val="00623360"/>
    <w:rsid w:val="006236C2"/>
    <w:rsid w:val="00623EF4"/>
    <w:rsid w:val="006245B8"/>
    <w:rsid w:val="00624A71"/>
    <w:rsid w:val="00624A78"/>
    <w:rsid w:val="00625597"/>
    <w:rsid w:val="00625662"/>
    <w:rsid w:val="006268FC"/>
    <w:rsid w:val="00626B66"/>
    <w:rsid w:val="00626E8E"/>
    <w:rsid w:val="00626FE6"/>
    <w:rsid w:val="0062741D"/>
    <w:rsid w:val="006278DF"/>
    <w:rsid w:val="0063039C"/>
    <w:rsid w:val="006309C5"/>
    <w:rsid w:val="00631018"/>
    <w:rsid w:val="006316B2"/>
    <w:rsid w:val="00631E92"/>
    <w:rsid w:val="00633BC8"/>
    <w:rsid w:val="006341A2"/>
    <w:rsid w:val="006343A6"/>
    <w:rsid w:val="00634CC4"/>
    <w:rsid w:val="006352B5"/>
    <w:rsid w:val="0063546C"/>
    <w:rsid w:val="006354AF"/>
    <w:rsid w:val="00635699"/>
    <w:rsid w:val="00636459"/>
    <w:rsid w:val="0064006E"/>
    <w:rsid w:val="006405B5"/>
    <w:rsid w:val="006413BA"/>
    <w:rsid w:val="00641B89"/>
    <w:rsid w:val="006427F2"/>
    <w:rsid w:val="00642E27"/>
    <w:rsid w:val="0064371C"/>
    <w:rsid w:val="00644BA7"/>
    <w:rsid w:val="00644D6F"/>
    <w:rsid w:val="00644DC3"/>
    <w:rsid w:val="00644E78"/>
    <w:rsid w:val="00645443"/>
    <w:rsid w:val="00647099"/>
    <w:rsid w:val="00647425"/>
    <w:rsid w:val="00650127"/>
    <w:rsid w:val="00650363"/>
    <w:rsid w:val="0065043D"/>
    <w:rsid w:val="006509B9"/>
    <w:rsid w:val="00651B42"/>
    <w:rsid w:val="00651E82"/>
    <w:rsid w:val="00652A80"/>
    <w:rsid w:val="00652BB9"/>
    <w:rsid w:val="00652BC3"/>
    <w:rsid w:val="00652BF8"/>
    <w:rsid w:val="006530B4"/>
    <w:rsid w:val="00653341"/>
    <w:rsid w:val="006536E4"/>
    <w:rsid w:val="00653762"/>
    <w:rsid w:val="006539DB"/>
    <w:rsid w:val="006545AB"/>
    <w:rsid w:val="00654C45"/>
    <w:rsid w:val="00654F74"/>
    <w:rsid w:val="00655155"/>
    <w:rsid w:val="00655617"/>
    <w:rsid w:val="00655B42"/>
    <w:rsid w:val="00656515"/>
    <w:rsid w:val="00656647"/>
    <w:rsid w:val="00656787"/>
    <w:rsid w:val="00656BB9"/>
    <w:rsid w:val="00657152"/>
    <w:rsid w:val="00657862"/>
    <w:rsid w:val="00657B34"/>
    <w:rsid w:val="00657F47"/>
    <w:rsid w:val="0066070D"/>
    <w:rsid w:val="00661039"/>
    <w:rsid w:val="006612DF"/>
    <w:rsid w:val="0066189D"/>
    <w:rsid w:val="00661BFD"/>
    <w:rsid w:val="00662276"/>
    <w:rsid w:val="00663DF3"/>
    <w:rsid w:val="00663FE3"/>
    <w:rsid w:val="0066405A"/>
    <w:rsid w:val="0066434F"/>
    <w:rsid w:val="00664735"/>
    <w:rsid w:val="006648D2"/>
    <w:rsid w:val="00665182"/>
    <w:rsid w:val="00665222"/>
    <w:rsid w:val="0066564B"/>
    <w:rsid w:val="0066584F"/>
    <w:rsid w:val="006658D3"/>
    <w:rsid w:val="0066594A"/>
    <w:rsid w:val="00665AF7"/>
    <w:rsid w:val="00667C69"/>
    <w:rsid w:val="00670616"/>
    <w:rsid w:val="00670D06"/>
    <w:rsid w:val="00670D12"/>
    <w:rsid w:val="00671275"/>
    <w:rsid w:val="00671279"/>
    <w:rsid w:val="0067138D"/>
    <w:rsid w:val="006719FE"/>
    <w:rsid w:val="00671E1C"/>
    <w:rsid w:val="006722B9"/>
    <w:rsid w:val="006728A9"/>
    <w:rsid w:val="00672FB2"/>
    <w:rsid w:val="0067319E"/>
    <w:rsid w:val="006731AF"/>
    <w:rsid w:val="0067328D"/>
    <w:rsid w:val="00673B2D"/>
    <w:rsid w:val="006758DC"/>
    <w:rsid w:val="00675B5A"/>
    <w:rsid w:val="00676005"/>
    <w:rsid w:val="006769AA"/>
    <w:rsid w:val="006773D4"/>
    <w:rsid w:val="0067779E"/>
    <w:rsid w:val="00677DE9"/>
    <w:rsid w:val="00680021"/>
    <w:rsid w:val="00681268"/>
    <w:rsid w:val="00681C19"/>
    <w:rsid w:val="00681ECC"/>
    <w:rsid w:val="00682893"/>
    <w:rsid w:val="006828F6"/>
    <w:rsid w:val="00682FB3"/>
    <w:rsid w:val="006839EC"/>
    <w:rsid w:val="00683FBE"/>
    <w:rsid w:val="00684540"/>
    <w:rsid w:val="0068556B"/>
    <w:rsid w:val="006859D1"/>
    <w:rsid w:val="006859D4"/>
    <w:rsid w:val="00685F50"/>
    <w:rsid w:val="006865C4"/>
    <w:rsid w:val="0068679F"/>
    <w:rsid w:val="00686864"/>
    <w:rsid w:val="006868DE"/>
    <w:rsid w:val="00687139"/>
    <w:rsid w:val="00687C16"/>
    <w:rsid w:val="00690512"/>
    <w:rsid w:val="00690D80"/>
    <w:rsid w:val="00690F3F"/>
    <w:rsid w:val="0069103C"/>
    <w:rsid w:val="00691051"/>
    <w:rsid w:val="006910AE"/>
    <w:rsid w:val="006910F3"/>
    <w:rsid w:val="00691322"/>
    <w:rsid w:val="0069144F"/>
    <w:rsid w:val="0069169A"/>
    <w:rsid w:val="00691BBD"/>
    <w:rsid w:val="00692A01"/>
    <w:rsid w:val="00692DC2"/>
    <w:rsid w:val="006930B5"/>
    <w:rsid w:val="006931D6"/>
    <w:rsid w:val="00693A47"/>
    <w:rsid w:val="00693D2B"/>
    <w:rsid w:val="00694596"/>
    <w:rsid w:val="00694E4A"/>
    <w:rsid w:val="00695928"/>
    <w:rsid w:val="00695951"/>
    <w:rsid w:val="00697E99"/>
    <w:rsid w:val="00697E9D"/>
    <w:rsid w:val="006A01D2"/>
    <w:rsid w:val="006A052D"/>
    <w:rsid w:val="006A0630"/>
    <w:rsid w:val="006A0D3A"/>
    <w:rsid w:val="006A0EFA"/>
    <w:rsid w:val="006A1076"/>
    <w:rsid w:val="006A144A"/>
    <w:rsid w:val="006A171B"/>
    <w:rsid w:val="006A2819"/>
    <w:rsid w:val="006A3179"/>
    <w:rsid w:val="006A47AA"/>
    <w:rsid w:val="006A5423"/>
    <w:rsid w:val="006A69C2"/>
    <w:rsid w:val="006A6AEA"/>
    <w:rsid w:val="006A6BD3"/>
    <w:rsid w:val="006A76C7"/>
    <w:rsid w:val="006A776E"/>
    <w:rsid w:val="006B0969"/>
    <w:rsid w:val="006B097F"/>
    <w:rsid w:val="006B102C"/>
    <w:rsid w:val="006B1766"/>
    <w:rsid w:val="006B1CE0"/>
    <w:rsid w:val="006B1D65"/>
    <w:rsid w:val="006B2FC2"/>
    <w:rsid w:val="006B310D"/>
    <w:rsid w:val="006B322D"/>
    <w:rsid w:val="006B4571"/>
    <w:rsid w:val="006B4CAB"/>
    <w:rsid w:val="006B526C"/>
    <w:rsid w:val="006B5408"/>
    <w:rsid w:val="006B5865"/>
    <w:rsid w:val="006B61AE"/>
    <w:rsid w:val="006B6B93"/>
    <w:rsid w:val="006B6F78"/>
    <w:rsid w:val="006B7C11"/>
    <w:rsid w:val="006B7FA3"/>
    <w:rsid w:val="006C0883"/>
    <w:rsid w:val="006C0A63"/>
    <w:rsid w:val="006C104B"/>
    <w:rsid w:val="006C1319"/>
    <w:rsid w:val="006C1412"/>
    <w:rsid w:val="006C1A72"/>
    <w:rsid w:val="006C1D8C"/>
    <w:rsid w:val="006C222F"/>
    <w:rsid w:val="006C223F"/>
    <w:rsid w:val="006C2678"/>
    <w:rsid w:val="006C3063"/>
    <w:rsid w:val="006C31D9"/>
    <w:rsid w:val="006C35AB"/>
    <w:rsid w:val="006C3DFF"/>
    <w:rsid w:val="006C5218"/>
    <w:rsid w:val="006C52B8"/>
    <w:rsid w:val="006C5371"/>
    <w:rsid w:val="006C5612"/>
    <w:rsid w:val="006C5817"/>
    <w:rsid w:val="006C63EF"/>
    <w:rsid w:val="006C6A1E"/>
    <w:rsid w:val="006C7AAD"/>
    <w:rsid w:val="006C7C60"/>
    <w:rsid w:val="006C7C85"/>
    <w:rsid w:val="006D0470"/>
    <w:rsid w:val="006D07EA"/>
    <w:rsid w:val="006D09CD"/>
    <w:rsid w:val="006D0E91"/>
    <w:rsid w:val="006D1405"/>
    <w:rsid w:val="006D1818"/>
    <w:rsid w:val="006D1894"/>
    <w:rsid w:val="006D2D4E"/>
    <w:rsid w:val="006D2ED3"/>
    <w:rsid w:val="006D3068"/>
    <w:rsid w:val="006D3247"/>
    <w:rsid w:val="006D3751"/>
    <w:rsid w:val="006D3D5A"/>
    <w:rsid w:val="006D4DEE"/>
    <w:rsid w:val="006D5234"/>
    <w:rsid w:val="006D55F2"/>
    <w:rsid w:val="006D5BB1"/>
    <w:rsid w:val="006D6150"/>
    <w:rsid w:val="006D6520"/>
    <w:rsid w:val="006D686C"/>
    <w:rsid w:val="006D6C48"/>
    <w:rsid w:val="006D7BA6"/>
    <w:rsid w:val="006D7D21"/>
    <w:rsid w:val="006E0862"/>
    <w:rsid w:val="006E0E8E"/>
    <w:rsid w:val="006E0EA3"/>
    <w:rsid w:val="006E0F0A"/>
    <w:rsid w:val="006E2CB7"/>
    <w:rsid w:val="006E2FF0"/>
    <w:rsid w:val="006E38A9"/>
    <w:rsid w:val="006E3922"/>
    <w:rsid w:val="006E3A43"/>
    <w:rsid w:val="006E3C47"/>
    <w:rsid w:val="006E48E9"/>
    <w:rsid w:val="006E50CB"/>
    <w:rsid w:val="006E51B8"/>
    <w:rsid w:val="006E52F9"/>
    <w:rsid w:val="006E56F9"/>
    <w:rsid w:val="006E6B58"/>
    <w:rsid w:val="006E7091"/>
    <w:rsid w:val="006E7303"/>
    <w:rsid w:val="006E7694"/>
    <w:rsid w:val="006E7CE2"/>
    <w:rsid w:val="006E7DA5"/>
    <w:rsid w:val="006F0852"/>
    <w:rsid w:val="006F0C6D"/>
    <w:rsid w:val="006F12F4"/>
    <w:rsid w:val="006F13AC"/>
    <w:rsid w:val="006F1B31"/>
    <w:rsid w:val="006F1E35"/>
    <w:rsid w:val="006F21DC"/>
    <w:rsid w:val="006F2483"/>
    <w:rsid w:val="006F2725"/>
    <w:rsid w:val="006F2A4B"/>
    <w:rsid w:val="006F3E64"/>
    <w:rsid w:val="006F433E"/>
    <w:rsid w:val="006F4A52"/>
    <w:rsid w:val="006F541E"/>
    <w:rsid w:val="006F566D"/>
    <w:rsid w:val="006F776C"/>
    <w:rsid w:val="006F7B1C"/>
    <w:rsid w:val="006F7D4B"/>
    <w:rsid w:val="00700D10"/>
    <w:rsid w:val="00702DC3"/>
    <w:rsid w:val="0070303F"/>
    <w:rsid w:val="007031A1"/>
    <w:rsid w:val="007036E6"/>
    <w:rsid w:val="00703A33"/>
    <w:rsid w:val="00703FD2"/>
    <w:rsid w:val="00704EC4"/>
    <w:rsid w:val="00704F16"/>
    <w:rsid w:val="007053E3"/>
    <w:rsid w:val="0070564B"/>
    <w:rsid w:val="00705961"/>
    <w:rsid w:val="0070608A"/>
    <w:rsid w:val="00706695"/>
    <w:rsid w:val="00706A27"/>
    <w:rsid w:val="0070712D"/>
    <w:rsid w:val="00707A38"/>
    <w:rsid w:val="007108ED"/>
    <w:rsid w:val="0071092B"/>
    <w:rsid w:val="00711CC0"/>
    <w:rsid w:val="00712D3E"/>
    <w:rsid w:val="00712F0A"/>
    <w:rsid w:val="00713177"/>
    <w:rsid w:val="00713B9B"/>
    <w:rsid w:val="00714760"/>
    <w:rsid w:val="00714995"/>
    <w:rsid w:val="00714AB1"/>
    <w:rsid w:val="007151F3"/>
    <w:rsid w:val="007156CD"/>
    <w:rsid w:val="0071593B"/>
    <w:rsid w:val="00716009"/>
    <w:rsid w:val="0071667D"/>
    <w:rsid w:val="007168A7"/>
    <w:rsid w:val="00716AB2"/>
    <w:rsid w:val="00716B5A"/>
    <w:rsid w:val="00716BA4"/>
    <w:rsid w:val="00717454"/>
    <w:rsid w:val="00717BBE"/>
    <w:rsid w:val="00720639"/>
    <w:rsid w:val="007206A4"/>
    <w:rsid w:val="00720DC6"/>
    <w:rsid w:val="00721E1D"/>
    <w:rsid w:val="007224F1"/>
    <w:rsid w:val="007225D9"/>
    <w:rsid w:val="007225F9"/>
    <w:rsid w:val="0072281D"/>
    <w:rsid w:val="00722A08"/>
    <w:rsid w:val="007230A5"/>
    <w:rsid w:val="00723E72"/>
    <w:rsid w:val="00724371"/>
    <w:rsid w:val="00724639"/>
    <w:rsid w:val="00724AA2"/>
    <w:rsid w:val="00724C01"/>
    <w:rsid w:val="00724F4A"/>
    <w:rsid w:val="00725483"/>
    <w:rsid w:val="00725EE0"/>
    <w:rsid w:val="0072610A"/>
    <w:rsid w:val="00726797"/>
    <w:rsid w:val="0072687A"/>
    <w:rsid w:val="00726BE8"/>
    <w:rsid w:val="00726CE3"/>
    <w:rsid w:val="00726D7B"/>
    <w:rsid w:val="007272A4"/>
    <w:rsid w:val="007274B8"/>
    <w:rsid w:val="007277D1"/>
    <w:rsid w:val="00727A86"/>
    <w:rsid w:val="00730D8C"/>
    <w:rsid w:val="00730ED5"/>
    <w:rsid w:val="0073133D"/>
    <w:rsid w:val="0073159C"/>
    <w:rsid w:val="00731A3A"/>
    <w:rsid w:val="00731D6C"/>
    <w:rsid w:val="007325B4"/>
    <w:rsid w:val="00732926"/>
    <w:rsid w:val="00733193"/>
    <w:rsid w:val="00733416"/>
    <w:rsid w:val="007337B2"/>
    <w:rsid w:val="00733D42"/>
    <w:rsid w:val="00733D7C"/>
    <w:rsid w:val="007346A8"/>
    <w:rsid w:val="007348D8"/>
    <w:rsid w:val="007354CC"/>
    <w:rsid w:val="00735618"/>
    <w:rsid w:val="00735D5B"/>
    <w:rsid w:val="00737205"/>
    <w:rsid w:val="0074045A"/>
    <w:rsid w:val="0074214F"/>
    <w:rsid w:val="0074448B"/>
    <w:rsid w:val="0074464D"/>
    <w:rsid w:val="00744F27"/>
    <w:rsid w:val="00746504"/>
    <w:rsid w:val="00746686"/>
    <w:rsid w:val="00746A9F"/>
    <w:rsid w:val="00747242"/>
    <w:rsid w:val="0075025B"/>
    <w:rsid w:val="00750962"/>
    <w:rsid w:val="00752565"/>
    <w:rsid w:val="00752BBC"/>
    <w:rsid w:val="0075313D"/>
    <w:rsid w:val="007538FE"/>
    <w:rsid w:val="0075649F"/>
    <w:rsid w:val="00756780"/>
    <w:rsid w:val="00756E2A"/>
    <w:rsid w:val="00757569"/>
    <w:rsid w:val="007575AE"/>
    <w:rsid w:val="007575FE"/>
    <w:rsid w:val="00757CAF"/>
    <w:rsid w:val="0076018D"/>
    <w:rsid w:val="00760AB8"/>
    <w:rsid w:val="00760CED"/>
    <w:rsid w:val="00761E21"/>
    <w:rsid w:val="00761FDE"/>
    <w:rsid w:val="00762C23"/>
    <w:rsid w:val="00762DDD"/>
    <w:rsid w:val="00763488"/>
    <w:rsid w:val="0076349C"/>
    <w:rsid w:val="00765807"/>
    <w:rsid w:val="007669D6"/>
    <w:rsid w:val="00766BF3"/>
    <w:rsid w:val="00767147"/>
    <w:rsid w:val="007674DC"/>
    <w:rsid w:val="00767641"/>
    <w:rsid w:val="00767A59"/>
    <w:rsid w:val="00770790"/>
    <w:rsid w:val="0077083E"/>
    <w:rsid w:val="00770989"/>
    <w:rsid w:val="00771213"/>
    <w:rsid w:val="00771667"/>
    <w:rsid w:val="00771BA5"/>
    <w:rsid w:val="00772341"/>
    <w:rsid w:val="0077295C"/>
    <w:rsid w:val="00773202"/>
    <w:rsid w:val="00773515"/>
    <w:rsid w:val="0077484A"/>
    <w:rsid w:val="00774929"/>
    <w:rsid w:val="00775154"/>
    <w:rsid w:val="0077534A"/>
    <w:rsid w:val="007767E5"/>
    <w:rsid w:val="007769C6"/>
    <w:rsid w:val="00777139"/>
    <w:rsid w:val="007775EF"/>
    <w:rsid w:val="00780682"/>
    <w:rsid w:val="0078104C"/>
    <w:rsid w:val="0078139F"/>
    <w:rsid w:val="00781889"/>
    <w:rsid w:val="00781B2F"/>
    <w:rsid w:val="00782D38"/>
    <w:rsid w:val="00782F18"/>
    <w:rsid w:val="00783FEE"/>
    <w:rsid w:val="007846B7"/>
    <w:rsid w:val="007846EE"/>
    <w:rsid w:val="00784EE9"/>
    <w:rsid w:val="007857F5"/>
    <w:rsid w:val="00785CC8"/>
    <w:rsid w:val="007865CA"/>
    <w:rsid w:val="0078758C"/>
    <w:rsid w:val="007875B4"/>
    <w:rsid w:val="007878B3"/>
    <w:rsid w:val="00790193"/>
    <w:rsid w:val="007907A4"/>
    <w:rsid w:val="00790A5A"/>
    <w:rsid w:val="00791215"/>
    <w:rsid w:val="0079158D"/>
    <w:rsid w:val="00792412"/>
    <w:rsid w:val="0079287A"/>
    <w:rsid w:val="0079299B"/>
    <w:rsid w:val="00792A11"/>
    <w:rsid w:val="00793D58"/>
    <w:rsid w:val="00794C8E"/>
    <w:rsid w:val="00794EB1"/>
    <w:rsid w:val="007954E8"/>
    <w:rsid w:val="00795B13"/>
    <w:rsid w:val="00795CD4"/>
    <w:rsid w:val="00795FC7"/>
    <w:rsid w:val="007961EA"/>
    <w:rsid w:val="007963C6"/>
    <w:rsid w:val="0079656E"/>
    <w:rsid w:val="00796738"/>
    <w:rsid w:val="00796B4A"/>
    <w:rsid w:val="00796B9A"/>
    <w:rsid w:val="007979C9"/>
    <w:rsid w:val="007A0236"/>
    <w:rsid w:val="007A09F1"/>
    <w:rsid w:val="007A1068"/>
    <w:rsid w:val="007A12C9"/>
    <w:rsid w:val="007A1A4E"/>
    <w:rsid w:val="007A1B46"/>
    <w:rsid w:val="007A1CAB"/>
    <w:rsid w:val="007A1D53"/>
    <w:rsid w:val="007A2084"/>
    <w:rsid w:val="007A2603"/>
    <w:rsid w:val="007A2D39"/>
    <w:rsid w:val="007A380F"/>
    <w:rsid w:val="007A3DDD"/>
    <w:rsid w:val="007A3E2B"/>
    <w:rsid w:val="007A41DF"/>
    <w:rsid w:val="007A42E3"/>
    <w:rsid w:val="007A4394"/>
    <w:rsid w:val="007A5091"/>
    <w:rsid w:val="007A5137"/>
    <w:rsid w:val="007A52E7"/>
    <w:rsid w:val="007A6704"/>
    <w:rsid w:val="007A69B1"/>
    <w:rsid w:val="007A6DB3"/>
    <w:rsid w:val="007A6E8C"/>
    <w:rsid w:val="007A7132"/>
    <w:rsid w:val="007A7325"/>
    <w:rsid w:val="007A758D"/>
    <w:rsid w:val="007A7B1F"/>
    <w:rsid w:val="007B08FC"/>
    <w:rsid w:val="007B0ED0"/>
    <w:rsid w:val="007B153C"/>
    <w:rsid w:val="007B18B1"/>
    <w:rsid w:val="007B1E4F"/>
    <w:rsid w:val="007B24E5"/>
    <w:rsid w:val="007B2597"/>
    <w:rsid w:val="007B29E3"/>
    <w:rsid w:val="007B3426"/>
    <w:rsid w:val="007B3487"/>
    <w:rsid w:val="007B3721"/>
    <w:rsid w:val="007B40EE"/>
    <w:rsid w:val="007B496F"/>
    <w:rsid w:val="007B4A04"/>
    <w:rsid w:val="007B4D5C"/>
    <w:rsid w:val="007B4EDD"/>
    <w:rsid w:val="007B4F6C"/>
    <w:rsid w:val="007B5FBC"/>
    <w:rsid w:val="007B631D"/>
    <w:rsid w:val="007B68F1"/>
    <w:rsid w:val="007B696F"/>
    <w:rsid w:val="007B7480"/>
    <w:rsid w:val="007B783D"/>
    <w:rsid w:val="007B79CB"/>
    <w:rsid w:val="007B7A8E"/>
    <w:rsid w:val="007C0425"/>
    <w:rsid w:val="007C0649"/>
    <w:rsid w:val="007C08DD"/>
    <w:rsid w:val="007C092E"/>
    <w:rsid w:val="007C0D5C"/>
    <w:rsid w:val="007C1451"/>
    <w:rsid w:val="007C1998"/>
    <w:rsid w:val="007C21DB"/>
    <w:rsid w:val="007C22B6"/>
    <w:rsid w:val="007C2B2D"/>
    <w:rsid w:val="007C306C"/>
    <w:rsid w:val="007C37FF"/>
    <w:rsid w:val="007C3B1A"/>
    <w:rsid w:val="007C3C31"/>
    <w:rsid w:val="007C3E38"/>
    <w:rsid w:val="007C3FB0"/>
    <w:rsid w:val="007C419D"/>
    <w:rsid w:val="007C42D7"/>
    <w:rsid w:val="007C49EF"/>
    <w:rsid w:val="007C4B46"/>
    <w:rsid w:val="007C4D6D"/>
    <w:rsid w:val="007C5098"/>
    <w:rsid w:val="007C5562"/>
    <w:rsid w:val="007C5890"/>
    <w:rsid w:val="007C75B4"/>
    <w:rsid w:val="007C7690"/>
    <w:rsid w:val="007C77FA"/>
    <w:rsid w:val="007C79FF"/>
    <w:rsid w:val="007D09C4"/>
    <w:rsid w:val="007D248A"/>
    <w:rsid w:val="007D26A5"/>
    <w:rsid w:val="007D2916"/>
    <w:rsid w:val="007D404C"/>
    <w:rsid w:val="007D4FF7"/>
    <w:rsid w:val="007D5055"/>
    <w:rsid w:val="007D52BD"/>
    <w:rsid w:val="007D5EFB"/>
    <w:rsid w:val="007D64FC"/>
    <w:rsid w:val="007D6953"/>
    <w:rsid w:val="007D73BF"/>
    <w:rsid w:val="007D781B"/>
    <w:rsid w:val="007E0101"/>
    <w:rsid w:val="007E0152"/>
    <w:rsid w:val="007E0DA6"/>
    <w:rsid w:val="007E195D"/>
    <w:rsid w:val="007E1E8B"/>
    <w:rsid w:val="007E1F68"/>
    <w:rsid w:val="007E2099"/>
    <w:rsid w:val="007E24A0"/>
    <w:rsid w:val="007E29E5"/>
    <w:rsid w:val="007E2AE7"/>
    <w:rsid w:val="007E2CF4"/>
    <w:rsid w:val="007E340D"/>
    <w:rsid w:val="007E4033"/>
    <w:rsid w:val="007E4213"/>
    <w:rsid w:val="007E4DCE"/>
    <w:rsid w:val="007E554C"/>
    <w:rsid w:val="007E5AAE"/>
    <w:rsid w:val="007E5C91"/>
    <w:rsid w:val="007E5DAF"/>
    <w:rsid w:val="007E67B8"/>
    <w:rsid w:val="007E6CAF"/>
    <w:rsid w:val="007E7912"/>
    <w:rsid w:val="007F034F"/>
    <w:rsid w:val="007F114D"/>
    <w:rsid w:val="007F15CF"/>
    <w:rsid w:val="007F24D2"/>
    <w:rsid w:val="007F324C"/>
    <w:rsid w:val="007F3B64"/>
    <w:rsid w:val="007F3C94"/>
    <w:rsid w:val="007F3E29"/>
    <w:rsid w:val="007F4E3A"/>
    <w:rsid w:val="007F57EB"/>
    <w:rsid w:val="007F5CCA"/>
    <w:rsid w:val="007F6271"/>
    <w:rsid w:val="007F63E0"/>
    <w:rsid w:val="007F6BDB"/>
    <w:rsid w:val="007F73BF"/>
    <w:rsid w:val="007F778B"/>
    <w:rsid w:val="00800040"/>
    <w:rsid w:val="008006C1"/>
    <w:rsid w:val="00801D19"/>
    <w:rsid w:val="00802050"/>
    <w:rsid w:val="008024ED"/>
    <w:rsid w:val="00802DE3"/>
    <w:rsid w:val="00802EBE"/>
    <w:rsid w:val="00803762"/>
    <w:rsid w:val="00803AEB"/>
    <w:rsid w:val="00804224"/>
    <w:rsid w:val="00804590"/>
    <w:rsid w:val="0080486A"/>
    <w:rsid w:val="00804C64"/>
    <w:rsid w:val="00804F34"/>
    <w:rsid w:val="008051F9"/>
    <w:rsid w:val="0080565F"/>
    <w:rsid w:val="008058CC"/>
    <w:rsid w:val="00805D4A"/>
    <w:rsid w:val="008063A9"/>
    <w:rsid w:val="008063EE"/>
    <w:rsid w:val="0080678F"/>
    <w:rsid w:val="0080753F"/>
    <w:rsid w:val="00810A98"/>
    <w:rsid w:val="00810D05"/>
    <w:rsid w:val="008110AB"/>
    <w:rsid w:val="008110F5"/>
    <w:rsid w:val="00811272"/>
    <w:rsid w:val="008116E2"/>
    <w:rsid w:val="008117A0"/>
    <w:rsid w:val="008117A3"/>
    <w:rsid w:val="008128EE"/>
    <w:rsid w:val="0081290F"/>
    <w:rsid w:val="008131B8"/>
    <w:rsid w:val="0081418E"/>
    <w:rsid w:val="008150D8"/>
    <w:rsid w:val="008156DC"/>
    <w:rsid w:val="00815C6B"/>
    <w:rsid w:val="008167E5"/>
    <w:rsid w:val="008178F7"/>
    <w:rsid w:val="00820773"/>
    <w:rsid w:val="00820B3A"/>
    <w:rsid w:val="00820C4A"/>
    <w:rsid w:val="00820CDA"/>
    <w:rsid w:val="00820F69"/>
    <w:rsid w:val="00821081"/>
    <w:rsid w:val="00821158"/>
    <w:rsid w:val="00821C33"/>
    <w:rsid w:val="0082234F"/>
    <w:rsid w:val="00822596"/>
    <w:rsid w:val="008233D6"/>
    <w:rsid w:val="00823A24"/>
    <w:rsid w:val="0082476C"/>
    <w:rsid w:val="0082523C"/>
    <w:rsid w:val="00825254"/>
    <w:rsid w:val="00825EA9"/>
    <w:rsid w:val="0082684E"/>
    <w:rsid w:val="00826EDC"/>
    <w:rsid w:val="00827F4F"/>
    <w:rsid w:val="00830BF5"/>
    <w:rsid w:val="00830CBB"/>
    <w:rsid w:val="00831506"/>
    <w:rsid w:val="00831969"/>
    <w:rsid w:val="00832A54"/>
    <w:rsid w:val="00832EFE"/>
    <w:rsid w:val="008342C4"/>
    <w:rsid w:val="0083456D"/>
    <w:rsid w:val="00834C27"/>
    <w:rsid w:val="0083548F"/>
    <w:rsid w:val="00835D4C"/>
    <w:rsid w:val="00836007"/>
    <w:rsid w:val="008372C6"/>
    <w:rsid w:val="00837EA3"/>
    <w:rsid w:val="00840145"/>
    <w:rsid w:val="0084052A"/>
    <w:rsid w:val="00840875"/>
    <w:rsid w:val="0084122A"/>
    <w:rsid w:val="00841536"/>
    <w:rsid w:val="00842044"/>
    <w:rsid w:val="00842823"/>
    <w:rsid w:val="00843076"/>
    <w:rsid w:val="008431A4"/>
    <w:rsid w:val="008431FF"/>
    <w:rsid w:val="0084356B"/>
    <w:rsid w:val="0084390B"/>
    <w:rsid w:val="00843DD8"/>
    <w:rsid w:val="00844A8C"/>
    <w:rsid w:val="008455F2"/>
    <w:rsid w:val="00845EE6"/>
    <w:rsid w:val="00845F63"/>
    <w:rsid w:val="0084655C"/>
    <w:rsid w:val="0084749E"/>
    <w:rsid w:val="008478C5"/>
    <w:rsid w:val="00847FEC"/>
    <w:rsid w:val="00850473"/>
    <w:rsid w:val="008506FB"/>
    <w:rsid w:val="0085089A"/>
    <w:rsid w:val="00851068"/>
    <w:rsid w:val="008515AF"/>
    <w:rsid w:val="0085235D"/>
    <w:rsid w:val="00852430"/>
    <w:rsid w:val="00852677"/>
    <w:rsid w:val="00852872"/>
    <w:rsid w:val="00853500"/>
    <w:rsid w:val="008546D3"/>
    <w:rsid w:val="00854C1D"/>
    <w:rsid w:val="00855F1F"/>
    <w:rsid w:val="00856422"/>
    <w:rsid w:val="00856A39"/>
    <w:rsid w:val="00856A85"/>
    <w:rsid w:val="00857477"/>
    <w:rsid w:val="00857966"/>
    <w:rsid w:val="00857BF4"/>
    <w:rsid w:val="00857CF5"/>
    <w:rsid w:val="00857E73"/>
    <w:rsid w:val="008604C9"/>
    <w:rsid w:val="008605FD"/>
    <w:rsid w:val="00860C4B"/>
    <w:rsid w:val="00861021"/>
    <w:rsid w:val="00862314"/>
    <w:rsid w:val="00862494"/>
    <w:rsid w:val="00862B23"/>
    <w:rsid w:val="00862BCD"/>
    <w:rsid w:val="00862F24"/>
    <w:rsid w:val="00863353"/>
    <w:rsid w:val="00864C60"/>
    <w:rsid w:val="00864CBA"/>
    <w:rsid w:val="00865AC1"/>
    <w:rsid w:val="0086678D"/>
    <w:rsid w:val="008667D7"/>
    <w:rsid w:val="00866ED5"/>
    <w:rsid w:val="00867793"/>
    <w:rsid w:val="00867979"/>
    <w:rsid w:val="0086798F"/>
    <w:rsid w:val="00871408"/>
    <w:rsid w:val="0087167D"/>
    <w:rsid w:val="0087183B"/>
    <w:rsid w:val="00871BB7"/>
    <w:rsid w:val="00872087"/>
    <w:rsid w:val="00872358"/>
    <w:rsid w:val="008723C5"/>
    <w:rsid w:val="00872959"/>
    <w:rsid w:val="0087380F"/>
    <w:rsid w:val="00874138"/>
    <w:rsid w:val="008741A8"/>
    <w:rsid w:val="00875126"/>
    <w:rsid w:val="008759FE"/>
    <w:rsid w:val="00875F95"/>
    <w:rsid w:val="0087614D"/>
    <w:rsid w:val="00876D69"/>
    <w:rsid w:val="0087706C"/>
    <w:rsid w:val="00877196"/>
    <w:rsid w:val="00877230"/>
    <w:rsid w:val="00877443"/>
    <w:rsid w:val="00880A2B"/>
    <w:rsid w:val="00880B77"/>
    <w:rsid w:val="008817EF"/>
    <w:rsid w:val="0088194D"/>
    <w:rsid w:val="00881C5F"/>
    <w:rsid w:val="00884519"/>
    <w:rsid w:val="00884EE2"/>
    <w:rsid w:val="008850A7"/>
    <w:rsid w:val="008853F9"/>
    <w:rsid w:val="008854BB"/>
    <w:rsid w:val="008857C6"/>
    <w:rsid w:val="00885FA2"/>
    <w:rsid w:val="00885FE5"/>
    <w:rsid w:val="0088641C"/>
    <w:rsid w:val="0088709E"/>
    <w:rsid w:val="008871AA"/>
    <w:rsid w:val="00887767"/>
    <w:rsid w:val="00887C74"/>
    <w:rsid w:val="00887E1E"/>
    <w:rsid w:val="00887F0B"/>
    <w:rsid w:val="00890CD2"/>
    <w:rsid w:val="008915E3"/>
    <w:rsid w:val="00892127"/>
    <w:rsid w:val="0089275D"/>
    <w:rsid w:val="00892794"/>
    <w:rsid w:val="00893482"/>
    <w:rsid w:val="00893BBC"/>
    <w:rsid w:val="00894004"/>
    <w:rsid w:val="00894661"/>
    <w:rsid w:val="008948B4"/>
    <w:rsid w:val="00894F06"/>
    <w:rsid w:val="00895E30"/>
    <w:rsid w:val="00896048"/>
    <w:rsid w:val="00896450"/>
    <w:rsid w:val="00896579"/>
    <w:rsid w:val="008968DC"/>
    <w:rsid w:val="00896A0C"/>
    <w:rsid w:val="0089726A"/>
    <w:rsid w:val="008976FC"/>
    <w:rsid w:val="00897A7C"/>
    <w:rsid w:val="008A073E"/>
    <w:rsid w:val="008A07A6"/>
    <w:rsid w:val="008A0D13"/>
    <w:rsid w:val="008A1A16"/>
    <w:rsid w:val="008A1CE1"/>
    <w:rsid w:val="008A22BC"/>
    <w:rsid w:val="008A2EDC"/>
    <w:rsid w:val="008A3871"/>
    <w:rsid w:val="008A4521"/>
    <w:rsid w:val="008A4682"/>
    <w:rsid w:val="008A48AD"/>
    <w:rsid w:val="008A4F35"/>
    <w:rsid w:val="008A5281"/>
    <w:rsid w:val="008A544F"/>
    <w:rsid w:val="008A634E"/>
    <w:rsid w:val="008A7263"/>
    <w:rsid w:val="008A7BD9"/>
    <w:rsid w:val="008A7F3C"/>
    <w:rsid w:val="008B039B"/>
    <w:rsid w:val="008B0E19"/>
    <w:rsid w:val="008B1B39"/>
    <w:rsid w:val="008B27F7"/>
    <w:rsid w:val="008B2D5E"/>
    <w:rsid w:val="008B363F"/>
    <w:rsid w:val="008B50E5"/>
    <w:rsid w:val="008B530C"/>
    <w:rsid w:val="008B530D"/>
    <w:rsid w:val="008B54B3"/>
    <w:rsid w:val="008B5C63"/>
    <w:rsid w:val="008B6255"/>
    <w:rsid w:val="008B641A"/>
    <w:rsid w:val="008B6E71"/>
    <w:rsid w:val="008C012D"/>
    <w:rsid w:val="008C0475"/>
    <w:rsid w:val="008C062A"/>
    <w:rsid w:val="008C130D"/>
    <w:rsid w:val="008C16AD"/>
    <w:rsid w:val="008C1855"/>
    <w:rsid w:val="008C20DE"/>
    <w:rsid w:val="008C2C8F"/>
    <w:rsid w:val="008C2EB2"/>
    <w:rsid w:val="008C3730"/>
    <w:rsid w:val="008C386D"/>
    <w:rsid w:val="008C3A3C"/>
    <w:rsid w:val="008C42B3"/>
    <w:rsid w:val="008C481A"/>
    <w:rsid w:val="008C4933"/>
    <w:rsid w:val="008C4A1A"/>
    <w:rsid w:val="008C4CB6"/>
    <w:rsid w:val="008C4FB5"/>
    <w:rsid w:val="008C5BD5"/>
    <w:rsid w:val="008C6316"/>
    <w:rsid w:val="008C6725"/>
    <w:rsid w:val="008C6986"/>
    <w:rsid w:val="008C6A1C"/>
    <w:rsid w:val="008C6CCD"/>
    <w:rsid w:val="008C774A"/>
    <w:rsid w:val="008D0C1D"/>
    <w:rsid w:val="008D0E11"/>
    <w:rsid w:val="008D1770"/>
    <w:rsid w:val="008D1A88"/>
    <w:rsid w:val="008D2131"/>
    <w:rsid w:val="008D2488"/>
    <w:rsid w:val="008D253E"/>
    <w:rsid w:val="008D275D"/>
    <w:rsid w:val="008D297E"/>
    <w:rsid w:val="008D2ABE"/>
    <w:rsid w:val="008D2DEA"/>
    <w:rsid w:val="008D308E"/>
    <w:rsid w:val="008D3B08"/>
    <w:rsid w:val="008D3BC7"/>
    <w:rsid w:val="008D4D12"/>
    <w:rsid w:val="008D4EDC"/>
    <w:rsid w:val="008D5C47"/>
    <w:rsid w:val="008D6651"/>
    <w:rsid w:val="008D6C5F"/>
    <w:rsid w:val="008D7C4F"/>
    <w:rsid w:val="008E0DF3"/>
    <w:rsid w:val="008E11A7"/>
    <w:rsid w:val="008E175E"/>
    <w:rsid w:val="008E219D"/>
    <w:rsid w:val="008E296B"/>
    <w:rsid w:val="008E2B19"/>
    <w:rsid w:val="008E30E7"/>
    <w:rsid w:val="008E3430"/>
    <w:rsid w:val="008E355B"/>
    <w:rsid w:val="008E4210"/>
    <w:rsid w:val="008E5112"/>
    <w:rsid w:val="008E556F"/>
    <w:rsid w:val="008E5A9C"/>
    <w:rsid w:val="008E68A5"/>
    <w:rsid w:val="008E7204"/>
    <w:rsid w:val="008E77E9"/>
    <w:rsid w:val="008E782C"/>
    <w:rsid w:val="008E7CB7"/>
    <w:rsid w:val="008F0609"/>
    <w:rsid w:val="008F193C"/>
    <w:rsid w:val="008F1CC7"/>
    <w:rsid w:val="008F1D6A"/>
    <w:rsid w:val="008F272F"/>
    <w:rsid w:val="008F30C8"/>
    <w:rsid w:val="008F31D4"/>
    <w:rsid w:val="008F39D4"/>
    <w:rsid w:val="008F3E72"/>
    <w:rsid w:val="008F4343"/>
    <w:rsid w:val="008F4408"/>
    <w:rsid w:val="008F47C9"/>
    <w:rsid w:val="008F4AAB"/>
    <w:rsid w:val="008F57F3"/>
    <w:rsid w:val="008F6E3B"/>
    <w:rsid w:val="008F72B4"/>
    <w:rsid w:val="008F73BB"/>
    <w:rsid w:val="008F75A5"/>
    <w:rsid w:val="008F7609"/>
    <w:rsid w:val="008F77D4"/>
    <w:rsid w:val="00900670"/>
    <w:rsid w:val="00900B54"/>
    <w:rsid w:val="00900B63"/>
    <w:rsid w:val="009012F4"/>
    <w:rsid w:val="00901961"/>
    <w:rsid w:val="00901C4A"/>
    <w:rsid w:val="00902129"/>
    <w:rsid w:val="009025D5"/>
    <w:rsid w:val="00902666"/>
    <w:rsid w:val="00902988"/>
    <w:rsid w:val="00903E98"/>
    <w:rsid w:val="00904C7D"/>
    <w:rsid w:val="00904C9D"/>
    <w:rsid w:val="00905DCF"/>
    <w:rsid w:val="00905E85"/>
    <w:rsid w:val="00905EDA"/>
    <w:rsid w:val="00907227"/>
    <w:rsid w:val="0090732D"/>
    <w:rsid w:val="009077FB"/>
    <w:rsid w:val="00907DFA"/>
    <w:rsid w:val="00910389"/>
    <w:rsid w:val="00910F53"/>
    <w:rsid w:val="00911607"/>
    <w:rsid w:val="00911B38"/>
    <w:rsid w:val="00912204"/>
    <w:rsid w:val="00912227"/>
    <w:rsid w:val="00912F7C"/>
    <w:rsid w:val="0091320E"/>
    <w:rsid w:val="00913CBC"/>
    <w:rsid w:val="009142E6"/>
    <w:rsid w:val="009149FF"/>
    <w:rsid w:val="00915FDF"/>
    <w:rsid w:val="00916C55"/>
    <w:rsid w:val="00916EBE"/>
    <w:rsid w:val="009170F1"/>
    <w:rsid w:val="00917746"/>
    <w:rsid w:val="0091777C"/>
    <w:rsid w:val="00920330"/>
    <w:rsid w:val="0092063A"/>
    <w:rsid w:val="00920BF3"/>
    <w:rsid w:val="00921B4A"/>
    <w:rsid w:val="00921DFB"/>
    <w:rsid w:val="00922364"/>
    <w:rsid w:val="009225F2"/>
    <w:rsid w:val="0092279D"/>
    <w:rsid w:val="00922FD7"/>
    <w:rsid w:val="0092326F"/>
    <w:rsid w:val="009239B2"/>
    <w:rsid w:val="00923C94"/>
    <w:rsid w:val="00924063"/>
    <w:rsid w:val="00924B33"/>
    <w:rsid w:val="00924E7B"/>
    <w:rsid w:val="00924F29"/>
    <w:rsid w:val="00925D2C"/>
    <w:rsid w:val="00925F3B"/>
    <w:rsid w:val="00926F0F"/>
    <w:rsid w:val="00927315"/>
    <w:rsid w:val="009274CE"/>
    <w:rsid w:val="00927C3A"/>
    <w:rsid w:val="00927D91"/>
    <w:rsid w:val="00927E80"/>
    <w:rsid w:val="009302DD"/>
    <w:rsid w:val="00930A04"/>
    <w:rsid w:val="00931002"/>
    <w:rsid w:val="00931732"/>
    <w:rsid w:val="0093176B"/>
    <w:rsid w:val="009324F6"/>
    <w:rsid w:val="009325FA"/>
    <w:rsid w:val="009338D2"/>
    <w:rsid w:val="00933A18"/>
    <w:rsid w:val="00933B98"/>
    <w:rsid w:val="00935B5A"/>
    <w:rsid w:val="00935C4B"/>
    <w:rsid w:val="0093649A"/>
    <w:rsid w:val="0093663D"/>
    <w:rsid w:val="0093673A"/>
    <w:rsid w:val="0093677B"/>
    <w:rsid w:val="009371F6"/>
    <w:rsid w:val="00937C29"/>
    <w:rsid w:val="00937C74"/>
    <w:rsid w:val="00937FA2"/>
    <w:rsid w:val="009408B7"/>
    <w:rsid w:val="00940F15"/>
    <w:rsid w:val="009415FA"/>
    <w:rsid w:val="009417D8"/>
    <w:rsid w:val="00941E0A"/>
    <w:rsid w:val="00941F4E"/>
    <w:rsid w:val="0094230A"/>
    <w:rsid w:val="00942873"/>
    <w:rsid w:val="009434F7"/>
    <w:rsid w:val="0094399B"/>
    <w:rsid w:val="00943FC9"/>
    <w:rsid w:val="0094419B"/>
    <w:rsid w:val="00945E90"/>
    <w:rsid w:val="00945EB8"/>
    <w:rsid w:val="00947883"/>
    <w:rsid w:val="00947B92"/>
    <w:rsid w:val="00947E36"/>
    <w:rsid w:val="009509FD"/>
    <w:rsid w:val="00950EA4"/>
    <w:rsid w:val="00951150"/>
    <w:rsid w:val="0095141B"/>
    <w:rsid w:val="00951A54"/>
    <w:rsid w:val="00951EBD"/>
    <w:rsid w:val="0095227D"/>
    <w:rsid w:val="009525D1"/>
    <w:rsid w:val="00953AC7"/>
    <w:rsid w:val="00954161"/>
    <w:rsid w:val="009551DA"/>
    <w:rsid w:val="00955477"/>
    <w:rsid w:val="00955AB1"/>
    <w:rsid w:val="00955BAB"/>
    <w:rsid w:val="00955F2C"/>
    <w:rsid w:val="009560C7"/>
    <w:rsid w:val="00956428"/>
    <w:rsid w:val="00957026"/>
    <w:rsid w:val="00957102"/>
    <w:rsid w:val="00957949"/>
    <w:rsid w:val="00957F0E"/>
    <w:rsid w:val="00960CB1"/>
    <w:rsid w:val="00960EA9"/>
    <w:rsid w:val="00961690"/>
    <w:rsid w:val="00961B08"/>
    <w:rsid w:val="00961C2C"/>
    <w:rsid w:val="009622F1"/>
    <w:rsid w:val="0096236C"/>
    <w:rsid w:val="009627C6"/>
    <w:rsid w:val="009632E2"/>
    <w:rsid w:val="0096382F"/>
    <w:rsid w:val="0096387D"/>
    <w:rsid w:val="00963AA7"/>
    <w:rsid w:val="00963DE3"/>
    <w:rsid w:val="00964620"/>
    <w:rsid w:val="00964CA1"/>
    <w:rsid w:val="0096577D"/>
    <w:rsid w:val="0096599E"/>
    <w:rsid w:val="00965AFA"/>
    <w:rsid w:val="00965E40"/>
    <w:rsid w:val="00965E7D"/>
    <w:rsid w:val="00966D06"/>
    <w:rsid w:val="00966F43"/>
    <w:rsid w:val="009674AD"/>
    <w:rsid w:val="00970E4A"/>
    <w:rsid w:val="00970F9B"/>
    <w:rsid w:val="00971856"/>
    <w:rsid w:val="0097185E"/>
    <w:rsid w:val="00971E9F"/>
    <w:rsid w:val="00971EAC"/>
    <w:rsid w:val="00972041"/>
    <w:rsid w:val="009720C1"/>
    <w:rsid w:val="00972AC7"/>
    <w:rsid w:val="009733A2"/>
    <w:rsid w:val="009738EB"/>
    <w:rsid w:val="00973D18"/>
    <w:rsid w:val="00974007"/>
    <w:rsid w:val="00974432"/>
    <w:rsid w:val="009744A9"/>
    <w:rsid w:val="00974BA2"/>
    <w:rsid w:val="009756CB"/>
    <w:rsid w:val="00975770"/>
    <w:rsid w:val="009762D5"/>
    <w:rsid w:val="00976D5E"/>
    <w:rsid w:val="00977F78"/>
    <w:rsid w:val="00980665"/>
    <w:rsid w:val="00980AA1"/>
    <w:rsid w:val="00980CBD"/>
    <w:rsid w:val="00980D6C"/>
    <w:rsid w:val="009818E3"/>
    <w:rsid w:val="00981ACB"/>
    <w:rsid w:val="00981B4F"/>
    <w:rsid w:val="00981FEE"/>
    <w:rsid w:val="00982F4F"/>
    <w:rsid w:val="00982F76"/>
    <w:rsid w:val="009834C0"/>
    <w:rsid w:val="0098373E"/>
    <w:rsid w:val="0098386A"/>
    <w:rsid w:val="00987BDD"/>
    <w:rsid w:val="00987E10"/>
    <w:rsid w:val="00990003"/>
    <w:rsid w:val="0099070A"/>
    <w:rsid w:val="00990A49"/>
    <w:rsid w:val="0099190F"/>
    <w:rsid w:val="009925FD"/>
    <w:rsid w:val="009926A0"/>
    <w:rsid w:val="0099271E"/>
    <w:rsid w:val="00992E0B"/>
    <w:rsid w:val="00993D9C"/>
    <w:rsid w:val="00994757"/>
    <w:rsid w:val="00994929"/>
    <w:rsid w:val="0099493D"/>
    <w:rsid w:val="00996737"/>
    <w:rsid w:val="009968BE"/>
    <w:rsid w:val="00996B87"/>
    <w:rsid w:val="0099709E"/>
    <w:rsid w:val="00997350"/>
    <w:rsid w:val="009A0E86"/>
    <w:rsid w:val="009A1057"/>
    <w:rsid w:val="009A12D1"/>
    <w:rsid w:val="009A19AF"/>
    <w:rsid w:val="009A2E18"/>
    <w:rsid w:val="009A3452"/>
    <w:rsid w:val="009A3D7E"/>
    <w:rsid w:val="009A4039"/>
    <w:rsid w:val="009A411B"/>
    <w:rsid w:val="009A41F3"/>
    <w:rsid w:val="009A4D33"/>
    <w:rsid w:val="009A6160"/>
    <w:rsid w:val="009A65AC"/>
    <w:rsid w:val="009A6B6D"/>
    <w:rsid w:val="009A76C8"/>
    <w:rsid w:val="009A775E"/>
    <w:rsid w:val="009A7C0E"/>
    <w:rsid w:val="009A7EFB"/>
    <w:rsid w:val="009B0344"/>
    <w:rsid w:val="009B0C03"/>
    <w:rsid w:val="009B0C3A"/>
    <w:rsid w:val="009B0C7A"/>
    <w:rsid w:val="009B187C"/>
    <w:rsid w:val="009B2ABC"/>
    <w:rsid w:val="009B379D"/>
    <w:rsid w:val="009B3CFC"/>
    <w:rsid w:val="009B4291"/>
    <w:rsid w:val="009B43B5"/>
    <w:rsid w:val="009B532D"/>
    <w:rsid w:val="009B6D35"/>
    <w:rsid w:val="009B77F3"/>
    <w:rsid w:val="009B7A93"/>
    <w:rsid w:val="009C04D7"/>
    <w:rsid w:val="009C0DBE"/>
    <w:rsid w:val="009C10B3"/>
    <w:rsid w:val="009C287B"/>
    <w:rsid w:val="009C2B31"/>
    <w:rsid w:val="009C2FD6"/>
    <w:rsid w:val="009C32DB"/>
    <w:rsid w:val="009C3596"/>
    <w:rsid w:val="009C4701"/>
    <w:rsid w:val="009C4D9A"/>
    <w:rsid w:val="009C5054"/>
    <w:rsid w:val="009C5074"/>
    <w:rsid w:val="009C531B"/>
    <w:rsid w:val="009C5824"/>
    <w:rsid w:val="009C5D62"/>
    <w:rsid w:val="009C65B6"/>
    <w:rsid w:val="009C65C9"/>
    <w:rsid w:val="009C65D6"/>
    <w:rsid w:val="009C72FF"/>
    <w:rsid w:val="009C75EA"/>
    <w:rsid w:val="009C7B14"/>
    <w:rsid w:val="009C7BF2"/>
    <w:rsid w:val="009C7F58"/>
    <w:rsid w:val="009D03DE"/>
    <w:rsid w:val="009D063B"/>
    <w:rsid w:val="009D07FA"/>
    <w:rsid w:val="009D0CBE"/>
    <w:rsid w:val="009D1643"/>
    <w:rsid w:val="009D20C8"/>
    <w:rsid w:val="009D23EA"/>
    <w:rsid w:val="009D246B"/>
    <w:rsid w:val="009D2537"/>
    <w:rsid w:val="009D26FB"/>
    <w:rsid w:val="009D2E11"/>
    <w:rsid w:val="009D4A25"/>
    <w:rsid w:val="009D4C94"/>
    <w:rsid w:val="009D598E"/>
    <w:rsid w:val="009D5EE0"/>
    <w:rsid w:val="009D60C9"/>
    <w:rsid w:val="009D6538"/>
    <w:rsid w:val="009D7F62"/>
    <w:rsid w:val="009E0F25"/>
    <w:rsid w:val="009E0FEA"/>
    <w:rsid w:val="009E197C"/>
    <w:rsid w:val="009E2689"/>
    <w:rsid w:val="009E2D8B"/>
    <w:rsid w:val="009E2E3E"/>
    <w:rsid w:val="009E321F"/>
    <w:rsid w:val="009E35EE"/>
    <w:rsid w:val="009E3A4D"/>
    <w:rsid w:val="009E3C92"/>
    <w:rsid w:val="009E4400"/>
    <w:rsid w:val="009E45FB"/>
    <w:rsid w:val="009E52CD"/>
    <w:rsid w:val="009E6177"/>
    <w:rsid w:val="009E6E0E"/>
    <w:rsid w:val="009E7336"/>
    <w:rsid w:val="009E73B5"/>
    <w:rsid w:val="009E77E0"/>
    <w:rsid w:val="009F0251"/>
    <w:rsid w:val="009F02DA"/>
    <w:rsid w:val="009F0602"/>
    <w:rsid w:val="009F0ECB"/>
    <w:rsid w:val="009F0F99"/>
    <w:rsid w:val="009F1509"/>
    <w:rsid w:val="009F2621"/>
    <w:rsid w:val="009F34C1"/>
    <w:rsid w:val="009F3593"/>
    <w:rsid w:val="009F36E0"/>
    <w:rsid w:val="009F42DC"/>
    <w:rsid w:val="009F4AC6"/>
    <w:rsid w:val="009F586A"/>
    <w:rsid w:val="009F5E75"/>
    <w:rsid w:val="009F5FB3"/>
    <w:rsid w:val="009F635A"/>
    <w:rsid w:val="009F6EAE"/>
    <w:rsid w:val="009F711B"/>
    <w:rsid w:val="009F780D"/>
    <w:rsid w:val="00A002B7"/>
    <w:rsid w:val="00A002D2"/>
    <w:rsid w:val="00A00CE0"/>
    <w:rsid w:val="00A01B1B"/>
    <w:rsid w:val="00A02C61"/>
    <w:rsid w:val="00A02D9F"/>
    <w:rsid w:val="00A03F34"/>
    <w:rsid w:val="00A0439E"/>
    <w:rsid w:val="00A047B3"/>
    <w:rsid w:val="00A051C8"/>
    <w:rsid w:val="00A058B9"/>
    <w:rsid w:val="00A0596C"/>
    <w:rsid w:val="00A05DAC"/>
    <w:rsid w:val="00A0751D"/>
    <w:rsid w:val="00A0796A"/>
    <w:rsid w:val="00A112E8"/>
    <w:rsid w:val="00A113BB"/>
    <w:rsid w:val="00A113CB"/>
    <w:rsid w:val="00A116AD"/>
    <w:rsid w:val="00A116CA"/>
    <w:rsid w:val="00A12019"/>
    <w:rsid w:val="00A1251A"/>
    <w:rsid w:val="00A12B23"/>
    <w:rsid w:val="00A1311F"/>
    <w:rsid w:val="00A13853"/>
    <w:rsid w:val="00A145E4"/>
    <w:rsid w:val="00A14634"/>
    <w:rsid w:val="00A148AF"/>
    <w:rsid w:val="00A14A96"/>
    <w:rsid w:val="00A15560"/>
    <w:rsid w:val="00A15F7B"/>
    <w:rsid w:val="00A1646B"/>
    <w:rsid w:val="00A167A9"/>
    <w:rsid w:val="00A16913"/>
    <w:rsid w:val="00A16D47"/>
    <w:rsid w:val="00A177F8"/>
    <w:rsid w:val="00A17C4C"/>
    <w:rsid w:val="00A21096"/>
    <w:rsid w:val="00A2121F"/>
    <w:rsid w:val="00A212A4"/>
    <w:rsid w:val="00A21419"/>
    <w:rsid w:val="00A21C7F"/>
    <w:rsid w:val="00A21D3E"/>
    <w:rsid w:val="00A221DE"/>
    <w:rsid w:val="00A22620"/>
    <w:rsid w:val="00A227C6"/>
    <w:rsid w:val="00A24509"/>
    <w:rsid w:val="00A24A6B"/>
    <w:rsid w:val="00A250E0"/>
    <w:rsid w:val="00A254B2"/>
    <w:rsid w:val="00A269C4"/>
    <w:rsid w:val="00A26A3B"/>
    <w:rsid w:val="00A26B32"/>
    <w:rsid w:val="00A2710D"/>
    <w:rsid w:val="00A27B19"/>
    <w:rsid w:val="00A27B23"/>
    <w:rsid w:val="00A30E01"/>
    <w:rsid w:val="00A31F28"/>
    <w:rsid w:val="00A32E9D"/>
    <w:rsid w:val="00A32F9A"/>
    <w:rsid w:val="00A335BA"/>
    <w:rsid w:val="00A33C55"/>
    <w:rsid w:val="00A33DBE"/>
    <w:rsid w:val="00A34207"/>
    <w:rsid w:val="00A343C9"/>
    <w:rsid w:val="00A3496C"/>
    <w:rsid w:val="00A35761"/>
    <w:rsid w:val="00A35CC9"/>
    <w:rsid w:val="00A360A0"/>
    <w:rsid w:val="00A36280"/>
    <w:rsid w:val="00A3670C"/>
    <w:rsid w:val="00A36FAD"/>
    <w:rsid w:val="00A37023"/>
    <w:rsid w:val="00A375E5"/>
    <w:rsid w:val="00A37A04"/>
    <w:rsid w:val="00A37BFA"/>
    <w:rsid w:val="00A402CE"/>
    <w:rsid w:val="00A415DB"/>
    <w:rsid w:val="00A41792"/>
    <w:rsid w:val="00A4195D"/>
    <w:rsid w:val="00A41CB3"/>
    <w:rsid w:val="00A41E09"/>
    <w:rsid w:val="00A425FE"/>
    <w:rsid w:val="00A436FA"/>
    <w:rsid w:val="00A438E1"/>
    <w:rsid w:val="00A4498E"/>
    <w:rsid w:val="00A44A52"/>
    <w:rsid w:val="00A44CEA"/>
    <w:rsid w:val="00A4548D"/>
    <w:rsid w:val="00A47061"/>
    <w:rsid w:val="00A47539"/>
    <w:rsid w:val="00A47A69"/>
    <w:rsid w:val="00A5007B"/>
    <w:rsid w:val="00A502F9"/>
    <w:rsid w:val="00A508B0"/>
    <w:rsid w:val="00A51246"/>
    <w:rsid w:val="00A512D2"/>
    <w:rsid w:val="00A52354"/>
    <w:rsid w:val="00A52B78"/>
    <w:rsid w:val="00A52C94"/>
    <w:rsid w:val="00A53120"/>
    <w:rsid w:val="00A53465"/>
    <w:rsid w:val="00A53588"/>
    <w:rsid w:val="00A5378D"/>
    <w:rsid w:val="00A540AF"/>
    <w:rsid w:val="00A54AEF"/>
    <w:rsid w:val="00A55345"/>
    <w:rsid w:val="00A55617"/>
    <w:rsid w:val="00A55C06"/>
    <w:rsid w:val="00A55F51"/>
    <w:rsid w:val="00A56008"/>
    <w:rsid w:val="00A56153"/>
    <w:rsid w:val="00A56B3F"/>
    <w:rsid w:val="00A56D4F"/>
    <w:rsid w:val="00A57255"/>
    <w:rsid w:val="00A572DD"/>
    <w:rsid w:val="00A60271"/>
    <w:rsid w:val="00A60905"/>
    <w:rsid w:val="00A610D9"/>
    <w:rsid w:val="00A61323"/>
    <w:rsid w:val="00A61944"/>
    <w:rsid w:val="00A61E0F"/>
    <w:rsid w:val="00A61FD1"/>
    <w:rsid w:val="00A62E27"/>
    <w:rsid w:val="00A6348B"/>
    <w:rsid w:val="00A635AC"/>
    <w:rsid w:val="00A63894"/>
    <w:rsid w:val="00A63947"/>
    <w:rsid w:val="00A64373"/>
    <w:rsid w:val="00A64406"/>
    <w:rsid w:val="00A6446B"/>
    <w:rsid w:val="00A645E4"/>
    <w:rsid w:val="00A64B99"/>
    <w:rsid w:val="00A650EE"/>
    <w:rsid w:val="00A653D9"/>
    <w:rsid w:val="00A656A3"/>
    <w:rsid w:val="00A65E04"/>
    <w:rsid w:val="00A6632D"/>
    <w:rsid w:val="00A66576"/>
    <w:rsid w:val="00A666F8"/>
    <w:rsid w:val="00A6718F"/>
    <w:rsid w:val="00A67227"/>
    <w:rsid w:val="00A67A8A"/>
    <w:rsid w:val="00A718AA"/>
    <w:rsid w:val="00A7285D"/>
    <w:rsid w:val="00A73433"/>
    <w:rsid w:val="00A73BEE"/>
    <w:rsid w:val="00A74B74"/>
    <w:rsid w:val="00A74CC4"/>
    <w:rsid w:val="00A7541B"/>
    <w:rsid w:val="00A75582"/>
    <w:rsid w:val="00A75B57"/>
    <w:rsid w:val="00A75DAB"/>
    <w:rsid w:val="00A760EF"/>
    <w:rsid w:val="00A76A01"/>
    <w:rsid w:val="00A7730C"/>
    <w:rsid w:val="00A77C70"/>
    <w:rsid w:val="00A8066C"/>
    <w:rsid w:val="00A81375"/>
    <w:rsid w:val="00A81616"/>
    <w:rsid w:val="00A82AE8"/>
    <w:rsid w:val="00A830DF"/>
    <w:rsid w:val="00A8386C"/>
    <w:rsid w:val="00A83A40"/>
    <w:rsid w:val="00A83DF6"/>
    <w:rsid w:val="00A83E39"/>
    <w:rsid w:val="00A85C1D"/>
    <w:rsid w:val="00A85F27"/>
    <w:rsid w:val="00A8621A"/>
    <w:rsid w:val="00A86ECF"/>
    <w:rsid w:val="00A8737C"/>
    <w:rsid w:val="00A916BF"/>
    <w:rsid w:val="00A92387"/>
    <w:rsid w:val="00A92922"/>
    <w:rsid w:val="00A92AFD"/>
    <w:rsid w:val="00A93982"/>
    <w:rsid w:val="00A945EE"/>
    <w:rsid w:val="00A9481C"/>
    <w:rsid w:val="00A9588E"/>
    <w:rsid w:val="00A96232"/>
    <w:rsid w:val="00A96D38"/>
    <w:rsid w:val="00A96F30"/>
    <w:rsid w:val="00A9718B"/>
    <w:rsid w:val="00A97EBB"/>
    <w:rsid w:val="00AA06BD"/>
    <w:rsid w:val="00AA0A12"/>
    <w:rsid w:val="00AA102E"/>
    <w:rsid w:val="00AA153C"/>
    <w:rsid w:val="00AA1601"/>
    <w:rsid w:val="00AA194A"/>
    <w:rsid w:val="00AA1FE7"/>
    <w:rsid w:val="00AA2BE1"/>
    <w:rsid w:val="00AA2C3C"/>
    <w:rsid w:val="00AA3364"/>
    <w:rsid w:val="00AA3562"/>
    <w:rsid w:val="00AA3BF1"/>
    <w:rsid w:val="00AA42FD"/>
    <w:rsid w:val="00AA4449"/>
    <w:rsid w:val="00AA4B39"/>
    <w:rsid w:val="00AA4EDD"/>
    <w:rsid w:val="00AA72F3"/>
    <w:rsid w:val="00AA7459"/>
    <w:rsid w:val="00AA7599"/>
    <w:rsid w:val="00AA7FBE"/>
    <w:rsid w:val="00AB01FB"/>
    <w:rsid w:val="00AB06B1"/>
    <w:rsid w:val="00AB08C8"/>
    <w:rsid w:val="00AB0F60"/>
    <w:rsid w:val="00AB1AB1"/>
    <w:rsid w:val="00AB1AF5"/>
    <w:rsid w:val="00AB20F5"/>
    <w:rsid w:val="00AB21FE"/>
    <w:rsid w:val="00AB22FB"/>
    <w:rsid w:val="00AB366D"/>
    <w:rsid w:val="00AB40D4"/>
    <w:rsid w:val="00AB4C7C"/>
    <w:rsid w:val="00AB4CDC"/>
    <w:rsid w:val="00AB5A27"/>
    <w:rsid w:val="00AB5E3B"/>
    <w:rsid w:val="00AB6EC9"/>
    <w:rsid w:val="00AB79AC"/>
    <w:rsid w:val="00AB7AF9"/>
    <w:rsid w:val="00AC045F"/>
    <w:rsid w:val="00AC08C0"/>
    <w:rsid w:val="00AC08D7"/>
    <w:rsid w:val="00AC08F1"/>
    <w:rsid w:val="00AC169D"/>
    <w:rsid w:val="00AC19BD"/>
    <w:rsid w:val="00AC1A69"/>
    <w:rsid w:val="00AC1D42"/>
    <w:rsid w:val="00AC25AE"/>
    <w:rsid w:val="00AC298B"/>
    <w:rsid w:val="00AC327A"/>
    <w:rsid w:val="00AC32E5"/>
    <w:rsid w:val="00AC35A2"/>
    <w:rsid w:val="00AC3D07"/>
    <w:rsid w:val="00AC3E1B"/>
    <w:rsid w:val="00AC3E93"/>
    <w:rsid w:val="00AC6152"/>
    <w:rsid w:val="00AC6507"/>
    <w:rsid w:val="00AC7230"/>
    <w:rsid w:val="00AC7B09"/>
    <w:rsid w:val="00AC7FE7"/>
    <w:rsid w:val="00AD0893"/>
    <w:rsid w:val="00AD08AE"/>
    <w:rsid w:val="00AD0C98"/>
    <w:rsid w:val="00AD0D82"/>
    <w:rsid w:val="00AD10BE"/>
    <w:rsid w:val="00AD1859"/>
    <w:rsid w:val="00AD1946"/>
    <w:rsid w:val="00AD2B55"/>
    <w:rsid w:val="00AD2F9F"/>
    <w:rsid w:val="00AD3127"/>
    <w:rsid w:val="00AD363D"/>
    <w:rsid w:val="00AD388D"/>
    <w:rsid w:val="00AD3905"/>
    <w:rsid w:val="00AD3A6B"/>
    <w:rsid w:val="00AD4695"/>
    <w:rsid w:val="00AD4B6B"/>
    <w:rsid w:val="00AD5C92"/>
    <w:rsid w:val="00AD6000"/>
    <w:rsid w:val="00AD6CE9"/>
    <w:rsid w:val="00AD6CFC"/>
    <w:rsid w:val="00AD6F27"/>
    <w:rsid w:val="00AD70D9"/>
    <w:rsid w:val="00AD73D6"/>
    <w:rsid w:val="00AE0B80"/>
    <w:rsid w:val="00AE0CD3"/>
    <w:rsid w:val="00AE1479"/>
    <w:rsid w:val="00AE1791"/>
    <w:rsid w:val="00AE2553"/>
    <w:rsid w:val="00AE27E4"/>
    <w:rsid w:val="00AE318F"/>
    <w:rsid w:val="00AE3530"/>
    <w:rsid w:val="00AE3716"/>
    <w:rsid w:val="00AE3ADD"/>
    <w:rsid w:val="00AE4127"/>
    <w:rsid w:val="00AE4338"/>
    <w:rsid w:val="00AE4996"/>
    <w:rsid w:val="00AE509B"/>
    <w:rsid w:val="00AE533E"/>
    <w:rsid w:val="00AE5D94"/>
    <w:rsid w:val="00AE5DAD"/>
    <w:rsid w:val="00AE66B7"/>
    <w:rsid w:val="00AE7071"/>
    <w:rsid w:val="00AE7DF2"/>
    <w:rsid w:val="00AF0A0F"/>
    <w:rsid w:val="00AF1252"/>
    <w:rsid w:val="00AF1F5F"/>
    <w:rsid w:val="00AF201C"/>
    <w:rsid w:val="00AF291F"/>
    <w:rsid w:val="00AF42DB"/>
    <w:rsid w:val="00AF5BA2"/>
    <w:rsid w:val="00AF5E78"/>
    <w:rsid w:val="00AF6180"/>
    <w:rsid w:val="00AF63E9"/>
    <w:rsid w:val="00AF66E0"/>
    <w:rsid w:val="00AF76D7"/>
    <w:rsid w:val="00AF7814"/>
    <w:rsid w:val="00AF79AB"/>
    <w:rsid w:val="00AF7BA6"/>
    <w:rsid w:val="00AF7DCB"/>
    <w:rsid w:val="00AF7EEB"/>
    <w:rsid w:val="00B0020E"/>
    <w:rsid w:val="00B002D1"/>
    <w:rsid w:val="00B0080A"/>
    <w:rsid w:val="00B016EF"/>
    <w:rsid w:val="00B022E1"/>
    <w:rsid w:val="00B02458"/>
    <w:rsid w:val="00B02AC5"/>
    <w:rsid w:val="00B02B78"/>
    <w:rsid w:val="00B03B7A"/>
    <w:rsid w:val="00B04A49"/>
    <w:rsid w:val="00B05DA3"/>
    <w:rsid w:val="00B06BB6"/>
    <w:rsid w:val="00B06F8B"/>
    <w:rsid w:val="00B07461"/>
    <w:rsid w:val="00B074CF"/>
    <w:rsid w:val="00B07615"/>
    <w:rsid w:val="00B07CD5"/>
    <w:rsid w:val="00B102C6"/>
    <w:rsid w:val="00B10778"/>
    <w:rsid w:val="00B10ABF"/>
    <w:rsid w:val="00B1165B"/>
    <w:rsid w:val="00B11814"/>
    <w:rsid w:val="00B11A0E"/>
    <w:rsid w:val="00B11CC2"/>
    <w:rsid w:val="00B11E93"/>
    <w:rsid w:val="00B1256C"/>
    <w:rsid w:val="00B12690"/>
    <w:rsid w:val="00B129DE"/>
    <w:rsid w:val="00B1308A"/>
    <w:rsid w:val="00B1342D"/>
    <w:rsid w:val="00B138A1"/>
    <w:rsid w:val="00B13D7A"/>
    <w:rsid w:val="00B14D10"/>
    <w:rsid w:val="00B15D3F"/>
    <w:rsid w:val="00B15D5D"/>
    <w:rsid w:val="00B16631"/>
    <w:rsid w:val="00B16697"/>
    <w:rsid w:val="00B167D5"/>
    <w:rsid w:val="00B16B3E"/>
    <w:rsid w:val="00B17BC2"/>
    <w:rsid w:val="00B17D91"/>
    <w:rsid w:val="00B17E4B"/>
    <w:rsid w:val="00B200C0"/>
    <w:rsid w:val="00B2048D"/>
    <w:rsid w:val="00B209D5"/>
    <w:rsid w:val="00B219C2"/>
    <w:rsid w:val="00B21DE8"/>
    <w:rsid w:val="00B21E29"/>
    <w:rsid w:val="00B22F2F"/>
    <w:rsid w:val="00B23029"/>
    <w:rsid w:val="00B23C61"/>
    <w:rsid w:val="00B23CCD"/>
    <w:rsid w:val="00B24359"/>
    <w:rsid w:val="00B244EF"/>
    <w:rsid w:val="00B2464E"/>
    <w:rsid w:val="00B24D26"/>
    <w:rsid w:val="00B24F51"/>
    <w:rsid w:val="00B26066"/>
    <w:rsid w:val="00B269A4"/>
    <w:rsid w:val="00B26BED"/>
    <w:rsid w:val="00B26E2E"/>
    <w:rsid w:val="00B27ADA"/>
    <w:rsid w:val="00B27FC3"/>
    <w:rsid w:val="00B306E9"/>
    <w:rsid w:val="00B30CA4"/>
    <w:rsid w:val="00B31333"/>
    <w:rsid w:val="00B31FAA"/>
    <w:rsid w:val="00B32E01"/>
    <w:rsid w:val="00B330EC"/>
    <w:rsid w:val="00B34459"/>
    <w:rsid w:val="00B34CF3"/>
    <w:rsid w:val="00B34D8B"/>
    <w:rsid w:val="00B3577E"/>
    <w:rsid w:val="00B35FCA"/>
    <w:rsid w:val="00B362F9"/>
    <w:rsid w:val="00B36606"/>
    <w:rsid w:val="00B36657"/>
    <w:rsid w:val="00B37227"/>
    <w:rsid w:val="00B40121"/>
    <w:rsid w:val="00B40327"/>
    <w:rsid w:val="00B41679"/>
    <w:rsid w:val="00B4197D"/>
    <w:rsid w:val="00B42550"/>
    <w:rsid w:val="00B431B6"/>
    <w:rsid w:val="00B434E2"/>
    <w:rsid w:val="00B445FB"/>
    <w:rsid w:val="00B4525F"/>
    <w:rsid w:val="00B45AD5"/>
    <w:rsid w:val="00B4636C"/>
    <w:rsid w:val="00B466B2"/>
    <w:rsid w:val="00B47700"/>
    <w:rsid w:val="00B47C72"/>
    <w:rsid w:val="00B502D5"/>
    <w:rsid w:val="00B509FB"/>
    <w:rsid w:val="00B50AE4"/>
    <w:rsid w:val="00B50C7E"/>
    <w:rsid w:val="00B51020"/>
    <w:rsid w:val="00B51179"/>
    <w:rsid w:val="00B51A49"/>
    <w:rsid w:val="00B52152"/>
    <w:rsid w:val="00B52664"/>
    <w:rsid w:val="00B52E8A"/>
    <w:rsid w:val="00B53142"/>
    <w:rsid w:val="00B531E7"/>
    <w:rsid w:val="00B532C7"/>
    <w:rsid w:val="00B5339E"/>
    <w:rsid w:val="00B53D75"/>
    <w:rsid w:val="00B53DB7"/>
    <w:rsid w:val="00B540BE"/>
    <w:rsid w:val="00B54467"/>
    <w:rsid w:val="00B547A8"/>
    <w:rsid w:val="00B54930"/>
    <w:rsid w:val="00B54D4F"/>
    <w:rsid w:val="00B55270"/>
    <w:rsid w:val="00B55C22"/>
    <w:rsid w:val="00B55CC9"/>
    <w:rsid w:val="00B5658A"/>
    <w:rsid w:val="00B56AEF"/>
    <w:rsid w:val="00B575AF"/>
    <w:rsid w:val="00B60468"/>
    <w:rsid w:val="00B618FE"/>
    <w:rsid w:val="00B61CC5"/>
    <w:rsid w:val="00B61E5D"/>
    <w:rsid w:val="00B622C2"/>
    <w:rsid w:val="00B627B3"/>
    <w:rsid w:val="00B63B2E"/>
    <w:rsid w:val="00B63CE3"/>
    <w:rsid w:val="00B65A37"/>
    <w:rsid w:val="00B667CC"/>
    <w:rsid w:val="00B668CF"/>
    <w:rsid w:val="00B66BAC"/>
    <w:rsid w:val="00B66DC2"/>
    <w:rsid w:val="00B67058"/>
    <w:rsid w:val="00B70A7F"/>
    <w:rsid w:val="00B71594"/>
    <w:rsid w:val="00B71BD9"/>
    <w:rsid w:val="00B7225C"/>
    <w:rsid w:val="00B727F7"/>
    <w:rsid w:val="00B739E1"/>
    <w:rsid w:val="00B7478C"/>
    <w:rsid w:val="00B74B70"/>
    <w:rsid w:val="00B7539D"/>
    <w:rsid w:val="00B754A0"/>
    <w:rsid w:val="00B7567E"/>
    <w:rsid w:val="00B761E7"/>
    <w:rsid w:val="00B7681D"/>
    <w:rsid w:val="00B768B1"/>
    <w:rsid w:val="00B76973"/>
    <w:rsid w:val="00B77410"/>
    <w:rsid w:val="00B77458"/>
    <w:rsid w:val="00B774E6"/>
    <w:rsid w:val="00B80281"/>
    <w:rsid w:val="00B8029E"/>
    <w:rsid w:val="00B80A6C"/>
    <w:rsid w:val="00B81710"/>
    <w:rsid w:val="00B81B4D"/>
    <w:rsid w:val="00B82715"/>
    <w:rsid w:val="00B82A7C"/>
    <w:rsid w:val="00B82C7D"/>
    <w:rsid w:val="00B83E82"/>
    <w:rsid w:val="00B84357"/>
    <w:rsid w:val="00B844A3"/>
    <w:rsid w:val="00B84C56"/>
    <w:rsid w:val="00B84DC2"/>
    <w:rsid w:val="00B85DD8"/>
    <w:rsid w:val="00B8620E"/>
    <w:rsid w:val="00B8635C"/>
    <w:rsid w:val="00B8690E"/>
    <w:rsid w:val="00B86994"/>
    <w:rsid w:val="00B87206"/>
    <w:rsid w:val="00B87AF9"/>
    <w:rsid w:val="00B87F55"/>
    <w:rsid w:val="00B87FE6"/>
    <w:rsid w:val="00B90018"/>
    <w:rsid w:val="00B90447"/>
    <w:rsid w:val="00B9163D"/>
    <w:rsid w:val="00B91873"/>
    <w:rsid w:val="00B93155"/>
    <w:rsid w:val="00B9357F"/>
    <w:rsid w:val="00B94E7A"/>
    <w:rsid w:val="00B94FEC"/>
    <w:rsid w:val="00B9591A"/>
    <w:rsid w:val="00B95BAF"/>
    <w:rsid w:val="00B95CC9"/>
    <w:rsid w:val="00B95DA3"/>
    <w:rsid w:val="00B963F3"/>
    <w:rsid w:val="00B9790B"/>
    <w:rsid w:val="00B97B88"/>
    <w:rsid w:val="00B97EFE"/>
    <w:rsid w:val="00BA01FD"/>
    <w:rsid w:val="00BA05D1"/>
    <w:rsid w:val="00BA07AC"/>
    <w:rsid w:val="00BA0C00"/>
    <w:rsid w:val="00BA103B"/>
    <w:rsid w:val="00BA1654"/>
    <w:rsid w:val="00BA1DA3"/>
    <w:rsid w:val="00BA2148"/>
    <w:rsid w:val="00BA24AF"/>
    <w:rsid w:val="00BA2655"/>
    <w:rsid w:val="00BA3099"/>
    <w:rsid w:val="00BA36D9"/>
    <w:rsid w:val="00BA39B8"/>
    <w:rsid w:val="00BA3CB3"/>
    <w:rsid w:val="00BA4632"/>
    <w:rsid w:val="00BA4728"/>
    <w:rsid w:val="00BA47E3"/>
    <w:rsid w:val="00BA4D9A"/>
    <w:rsid w:val="00BA4DB4"/>
    <w:rsid w:val="00BA5322"/>
    <w:rsid w:val="00BA5929"/>
    <w:rsid w:val="00BA5F54"/>
    <w:rsid w:val="00BA6456"/>
    <w:rsid w:val="00BA6BF2"/>
    <w:rsid w:val="00BA7B0F"/>
    <w:rsid w:val="00BA7D1D"/>
    <w:rsid w:val="00BA7FED"/>
    <w:rsid w:val="00BB0840"/>
    <w:rsid w:val="00BB09D8"/>
    <w:rsid w:val="00BB0DE1"/>
    <w:rsid w:val="00BB1273"/>
    <w:rsid w:val="00BB1496"/>
    <w:rsid w:val="00BB196A"/>
    <w:rsid w:val="00BB20CD"/>
    <w:rsid w:val="00BB22B0"/>
    <w:rsid w:val="00BB2543"/>
    <w:rsid w:val="00BB25AA"/>
    <w:rsid w:val="00BB2752"/>
    <w:rsid w:val="00BB2B15"/>
    <w:rsid w:val="00BB31F7"/>
    <w:rsid w:val="00BB32EB"/>
    <w:rsid w:val="00BB4077"/>
    <w:rsid w:val="00BB484A"/>
    <w:rsid w:val="00BB5C9B"/>
    <w:rsid w:val="00BB5EC8"/>
    <w:rsid w:val="00BB71CA"/>
    <w:rsid w:val="00BC03F9"/>
    <w:rsid w:val="00BC09CC"/>
    <w:rsid w:val="00BC0E66"/>
    <w:rsid w:val="00BC168A"/>
    <w:rsid w:val="00BC21C0"/>
    <w:rsid w:val="00BC3538"/>
    <w:rsid w:val="00BC4930"/>
    <w:rsid w:val="00BC49D6"/>
    <w:rsid w:val="00BC50C1"/>
    <w:rsid w:val="00BC5914"/>
    <w:rsid w:val="00BC68D0"/>
    <w:rsid w:val="00BC7262"/>
    <w:rsid w:val="00BC72CD"/>
    <w:rsid w:val="00BC793E"/>
    <w:rsid w:val="00BC7CCC"/>
    <w:rsid w:val="00BD0574"/>
    <w:rsid w:val="00BD12CC"/>
    <w:rsid w:val="00BD1438"/>
    <w:rsid w:val="00BD19BD"/>
    <w:rsid w:val="00BD1ED7"/>
    <w:rsid w:val="00BD282C"/>
    <w:rsid w:val="00BD2867"/>
    <w:rsid w:val="00BD2955"/>
    <w:rsid w:val="00BD2D38"/>
    <w:rsid w:val="00BD2D78"/>
    <w:rsid w:val="00BD4F8D"/>
    <w:rsid w:val="00BD5F5A"/>
    <w:rsid w:val="00BD63B7"/>
    <w:rsid w:val="00BD6DDB"/>
    <w:rsid w:val="00BD6FD0"/>
    <w:rsid w:val="00BD70A1"/>
    <w:rsid w:val="00BD7166"/>
    <w:rsid w:val="00BD7811"/>
    <w:rsid w:val="00BD7ABA"/>
    <w:rsid w:val="00BE003D"/>
    <w:rsid w:val="00BE0091"/>
    <w:rsid w:val="00BE010D"/>
    <w:rsid w:val="00BE0564"/>
    <w:rsid w:val="00BE1142"/>
    <w:rsid w:val="00BE1661"/>
    <w:rsid w:val="00BE1EED"/>
    <w:rsid w:val="00BE2AE7"/>
    <w:rsid w:val="00BE2B44"/>
    <w:rsid w:val="00BE3ADB"/>
    <w:rsid w:val="00BE3B0B"/>
    <w:rsid w:val="00BE4777"/>
    <w:rsid w:val="00BE4853"/>
    <w:rsid w:val="00BE4C05"/>
    <w:rsid w:val="00BE4D4C"/>
    <w:rsid w:val="00BE5280"/>
    <w:rsid w:val="00BE6F77"/>
    <w:rsid w:val="00BE7709"/>
    <w:rsid w:val="00BE7787"/>
    <w:rsid w:val="00BF012C"/>
    <w:rsid w:val="00BF06E8"/>
    <w:rsid w:val="00BF0826"/>
    <w:rsid w:val="00BF0CC8"/>
    <w:rsid w:val="00BF12A9"/>
    <w:rsid w:val="00BF14DE"/>
    <w:rsid w:val="00BF19CB"/>
    <w:rsid w:val="00BF244F"/>
    <w:rsid w:val="00BF2772"/>
    <w:rsid w:val="00BF2C1F"/>
    <w:rsid w:val="00BF3A05"/>
    <w:rsid w:val="00BF3FC6"/>
    <w:rsid w:val="00BF41C6"/>
    <w:rsid w:val="00BF51AE"/>
    <w:rsid w:val="00BF51EF"/>
    <w:rsid w:val="00BF6009"/>
    <w:rsid w:val="00BF65B0"/>
    <w:rsid w:val="00BF7B7D"/>
    <w:rsid w:val="00BF7E5E"/>
    <w:rsid w:val="00C009E9"/>
    <w:rsid w:val="00C01077"/>
    <w:rsid w:val="00C01AD0"/>
    <w:rsid w:val="00C024F8"/>
    <w:rsid w:val="00C02A25"/>
    <w:rsid w:val="00C02C63"/>
    <w:rsid w:val="00C03B17"/>
    <w:rsid w:val="00C03E6B"/>
    <w:rsid w:val="00C03E7F"/>
    <w:rsid w:val="00C04598"/>
    <w:rsid w:val="00C04FC0"/>
    <w:rsid w:val="00C05255"/>
    <w:rsid w:val="00C05685"/>
    <w:rsid w:val="00C05E83"/>
    <w:rsid w:val="00C0707B"/>
    <w:rsid w:val="00C07C44"/>
    <w:rsid w:val="00C100BA"/>
    <w:rsid w:val="00C1096F"/>
    <w:rsid w:val="00C10EB0"/>
    <w:rsid w:val="00C10F0B"/>
    <w:rsid w:val="00C115B8"/>
    <w:rsid w:val="00C11AA0"/>
    <w:rsid w:val="00C11C9F"/>
    <w:rsid w:val="00C11F35"/>
    <w:rsid w:val="00C12045"/>
    <w:rsid w:val="00C12138"/>
    <w:rsid w:val="00C129DC"/>
    <w:rsid w:val="00C13790"/>
    <w:rsid w:val="00C13DB3"/>
    <w:rsid w:val="00C14070"/>
    <w:rsid w:val="00C14195"/>
    <w:rsid w:val="00C15042"/>
    <w:rsid w:val="00C15426"/>
    <w:rsid w:val="00C15ACB"/>
    <w:rsid w:val="00C16172"/>
    <w:rsid w:val="00C1619B"/>
    <w:rsid w:val="00C161CC"/>
    <w:rsid w:val="00C162E6"/>
    <w:rsid w:val="00C16441"/>
    <w:rsid w:val="00C17B8F"/>
    <w:rsid w:val="00C20C55"/>
    <w:rsid w:val="00C21C36"/>
    <w:rsid w:val="00C22377"/>
    <w:rsid w:val="00C22E61"/>
    <w:rsid w:val="00C2318F"/>
    <w:rsid w:val="00C2371A"/>
    <w:rsid w:val="00C2397F"/>
    <w:rsid w:val="00C23DD0"/>
    <w:rsid w:val="00C23E4D"/>
    <w:rsid w:val="00C246D0"/>
    <w:rsid w:val="00C24D6D"/>
    <w:rsid w:val="00C25007"/>
    <w:rsid w:val="00C258E2"/>
    <w:rsid w:val="00C25D6F"/>
    <w:rsid w:val="00C25FC2"/>
    <w:rsid w:val="00C26055"/>
    <w:rsid w:val="00C27011"/>
    <w:rsid w:val="00C27770"/>
    <w:rsid w:val="00C2790C"/>
    <w:rsid w:val="00C27B22"/>
    <w:rsid w:val="00C30091"/>
    <w:rsid w:val="00C3075C"/>
    <w:rsid w:val="00C30CC6"/>
    <w:rsid w:val="00C30D90"/>
    <w:rsid w:val="00C30F3F"/>
    <w:rsid w:val="00C3130C"/>
    <w:rsid w:val="00C32CB3"/>
    <w:rsid w:val="00C33960"/>
    <w:rsid w:val="00C33A53"/>
    <w:rsid w:val="00C33DD2"/>
    <w:rsid w:val="00C33E98"/>
    <w:rsid w:val="00C33F91"/>
    <w:rsid w:val="00C34000"/>
    <w:rsid w:val="00C34061"/>
    <w:rsid w:val="00C3409D"/>
    <w:rsid w:val="00C344E4"/>
    <w:rsid w:val="00C3459F"/>
    <w:rsid w:val="00C348E3"/>
    <w:rsid w:val="00C351C4"/>
    <w:rsid w:val="00C355B1"/>
    <w:rsid w:val="00C35F5E"/>
    <w:rsid w:val="00C363D9"/>
    <w:rsid w:val="00C3671C"/>
    <w:rsid w:val="00C36790"/>
    <w:rsid w:val="00C36E07"/>
    <w:rsid w:val="00C36F87"/>
    <w:rsid w:val="00C37372"/>
    <w:rsid w:val="00C37658"/>
    <w:rsid w:val="00C37756"/>
    <w:rsid w:val="00C37768"/>
    <w:rsid w:val="00C37BDC"/>
    <w:rsid w:val="00C37EC9"/>
    <w:rsid w:val="00C405F1"/>
    <w:rsid w:val="00C40A15"/>
    <w:rsid w:val="00C41CB9"/>
    <w:rsid w:val="00C41DE9"/>
    <w:rsid w:val="00C42091"/>
    <w:rsid w:val="00C4228B"/>
    <w:rsid w:val="00C424FD"/>
    <w:rsid w:val="00C42B20"/>
    <w:rsid w:val="00C43194"/>
    <w:rsid w:val="00C43A28"/>
    <w:rsid w:val="00C44E1C"/>
    <w:rsid w:val="00C44E34"/>
    <w:rsid w:val="00C4502C"/>
    <w:rsid w:val="00C4610B"/>
    <w:rsid w:val="00C4641A"/>
    <w:rsid w:val="00C465EE"/>
    <w:rsid w:val="00C46CA6"/>
    <w:rsid w:val="00C46E1B"/>
    <w:rsid w:val="00C471B0"/>
    <w:rsid w:val="00C4796F"/>
    <w:rsid w:val="00C47CA7"/>
    <w:rsid w:val="00C50E36"/>
    <w:rsid w:val="00C50F26"/>
    <w:rsid w:val="00C52555"/>
    <w:rsid w:val="00C52973"/>
    <w:rsid w:val="00C52A20"/>
    <w:rsid w:val="00C52C9B"/>
    <w:rsid w:val="00C52CA6"/>
    <w:rsid w:val="00C52F69"/>
    <w:rsid w:val="00C53EB3"/>
    <w:rsid w:val="00C552C4"/>
    <w:rsid w:val="00C552DD"/>
    <w:rsid w:val="00C55372"/>
    <w:rsid w:val="00C55A95"/>
    <w:rsid w:val="00C55E5C"/>
    <w:rsid w:val="00C5690D"/>
    <w:rsid w:val="00C56B39"/>
    <w:rsid w:val="00C57812"/>
    <w:rsid w:val="00C57B83"/>
    <w:rsid w:val="00C57EDD"/>
    <w:rsid w:val="00C6086B"/>
    <w:rsid w:val="00C60E91"/>
    <w:rsid w:val="00C61000"/>
    <w:rsid w:val="00C613ED"/>
    <w:rsid w:val="00C614A5"/>
    <w:rsid w:val="00C61607"/>
    <w:rsid w:val="00C61A13"/>
    <w:rsid w:val="00C61A63"/>
    <w:rsid w:val="00C61B43"/>
    <w:rsid w:val="00C629F2"/>
    <w:rsid w:val="00C62A93"/>
    <w:rsid w:val="00C62BC9"/>
    <w:rsid w:val="00C636F0"/>
    <w:rsid w:val="00C63790"/>
    <w:rsid w:val="00C639F7"/>
    <w:rsid w:val="00C63FCD"/>
    <w:rsid w:val="00C6419C"/>
    <w:rsid w:val="00C6475E"/>
    <w:rsid w:val="00C65EE0"/>
    <w:rsid w:val="00C66664"/>
    <w:rsid w:val="00C66E25"/>
    <w:rsid w:val="00C67AA2"/>
    <w:rsid w:val="00C67FAA"/>
    <w:rsid w:val="00C70216"/>
    <w:rsid w:val="00C702F7"/>
    <w:rsid w:val="00C7044B"/>
    <w:rsid w:val="00C70C86"/>
    <w:rsid w:val="00C70F80"/>
    <w:rsid w:val="00C71128"/>
    <w:rsid w:val="00C729E7"/>
    <w:rsid w:val="00C72CD4"/>
    <w:rsid w:val="00C732B7"/>
    <w:rsid w:val="00C736FD"/>
    <w:rsid w:val="00C73BD9"/>
    <w:rsid w:val="00C73E1F"/>
    <w:rsid w:val="00C73E41"/>
    <w:rsid w:val="00C73F0A"/>
    <w:rsid w:val="00C74A02"/>
    <w:rsid w:val="00C75663"/>
    <w:rsid w:val="00C75B00"/>
    <w:rsid w:val="00C75C70"/>
    <w:rsid w:val="00C75E0B"/>
    <w:rsid w:val="00C75F45"/>
    <w:rsid w:val="00C7684D"/>
    <w:rsid w:val="00C77113"/>
    <w:rsid w:val="00C77944"/>
    <w:rsid w:val="00C77DA9"/>
    <w:rsid w:val="00C77ECE"/>
    <w:rsid w:val="00C77F53"/>
    <w:rsid w:val="00C8001F"/>
    <w:rsid w:val="00C80278"/>
    <w:rsid w:val="00C8068D"/>
    <w:rsid w:val="00C809D1"/>
    <w:rsid w:val="00C81B1C"/>
    <w:rsid w:val="00C81D77"/>
    <w:rsid w:val="00C8221C"/>
    <w:rsid w:val="00C8246F"/>
    <w:rsid w:val="00C82782"/>
    <w:rsid w:val="00C832FD"/>
    <w:rsid w:val="00C8485A"/>
    <w:rsid w:val="00C84C0D"/>
    <w:rsid w:val="00C85803"/>
    <w:rsid w:val="00C85C46"/>
    <w:rsid w:val="00C85DFC"/>
    <w:rsid w:val="00C860F0"/>
    <w:rsid w:val="00C86149"/>
    <w:rsid w:val="00C86575"/>
    <w:rsid w:val="00C86C52"/>
    <w:rsid w:val="00C86DA4"/>
    <w:rsid w:val="00C86EF1"/>
    <w:rsid w:val="00C87765"/>
    <w:rsid w:val="00C87D20"/>
    <w:rsid w:val="00C87E51"/>
    <w:rsid w:val="00C908D3"/>
    <w:rsid w:val="00C91165"/>
    <w:rsid w:val="00C91BAE"/>
    <w:rsid w:val="00C92A99"/>
    <w:rsid w:val="00C92EDA"/>
    <w:rsid w:val="00C93FE4"/>
    <w:rsid w:val="00C942DD"/>
    <w:rsid w:val="00C94491"/>
    <w:rsid w:val="00C94654"/>
    <w:rsid w:val="00C95229"/>
    <w:rsid w:val="00C95258"/>
    <w:rsid w:val="00C9575C"/>
    <w:rsid w:val="00C95A3B"/>
    <w:rsid w:val="00C95F3E"/>
    <w:rsid w:val="00C95F6E"/>
    <w:rsid w:val="00C96AF4"/>
    <w:rsid w:val="00C96B8D"/>
    <w:rsid w:val="00C96E9E"/>
    <w:rsid w:val="00C97D8C"/>
    <w:rsid w:val="00C97E48"/>
    <w:rsid w:val="00CA0BCE"/>
    <w:rsid w:val="00CA25BB"/>
    <w:rsid w:val="00CA3894"/>
    <w:rsid w:val="00CA3F75"/>
    <w:rsid w:val="00CA4ECA"/>
    <w:rsid w:val="00CA5D35"/>
    <w:rsid w:val="00CA5FA2"/>
    <w:rsid w:val="00CA602A"/>
    <w:rsid w:val="00CA614C"/>
    <w:rsid w:val="00CA67E5"/>
    <w:rsid w:val="00CA74C6"/>
    <w:rsid w:val="00CA76A5"/>
    <w:rsid w:val="00CA7768"/>
    <w:rsid w:val="00CA7A64"/>
    <w:rsid w:val="00CA7AA0"/>
    <w:rsid w:val="00CA7C30"/>
    <w:rsid w:val="00CA7CC9"/>
    <w:rsid w:val="00CA7EAB"/>
    <w:rsid w:val="00CB0BB6"/>
    <w:rsid w:val="00CB0C18"/>
    <w:rsid w:val="00CB0C41"/>
    <w:rsid w:val="00CB0F77"/>
    <w:rsid w:val="00CB0F87"/>
    <w:rsid w:val="00CB269A"/>
    <w:rsid w:val="00CB2AA3"/>
    <w:rsid w:val="00CB35A7"/>
    <w:rsid w:val="00CB4DCA"/>
    <w:rsid w:val="00CB5442"/>
    <w:rsid w:val="00CB73A6"/>
    <w:rsid w:val="00CB75F4"/>
    <w:rsid w:val="00CC031E"/>
    <w:rsid w:val="00CC09FC"/>
    <w:rsid w:val="00CC1050"/>
    <w:rsid w:val="00CC145A"/>
    <w:rsid w:val="00CC1646"/>
    <w:rsid w:val="00CC1C86"/>
    <w:rsid w:val="00CC223E"/>
    <w:rsid w:val="00CC2371"/>
    <w:rsid w:val="00CC23B9"/>
    <w:rsid w:val="00CC31DC"/>
    <w:rsid w:val="00CC4015"/>
    <w:rsid w:val="00CC4528"/>
    <w:rsid w:val="00CC4693"/>
    <w:rsid w:val="00CC4D5A"/>
    <w:rsid w:val="00CC4E00"/>
    <w:rsid w:val="00CC6D02"/>
    <w:rsid w:val="00CC701B"/>
    <w:rsid w:val="00CC7E18"/>
    <w:rsid w:val="00CD019E"/>
    <w:rsid w:val="00CD05E9"/>
    <w:rsid w:val="00CD0C85"/>
    <w:rsid w:val="00CD0D21"/>
    <w:rsid w:val="00CD1E05"/>
    <w:rsid w:val="00CD24B0"/>
    <w:rsid w:val="00CD2578"/>
    <w:rsid w:val="00CD2639"/>
    <w:rsid w:val="00CD2B5E"/>
    <w:rsid w:val="00CD2F94"/>
    <w:rsid w:val="00CD33C0"/>
    <w:rsid w:val="00CD3EF2"/>
    <w:rsid w:val="00CD40AB"/>
    <w:rsid w:val="00CD45B9"/>
    <w:rsid w:val="00CD4D16"/>
    <w:rsid w:val="00CD5057"/>
    <w:rsid w:val="00CD59CE"/>
    <w:rsid w:val="00CD626E"/>
    <w:rsid w:val="00CD6344"/>
    <w:rsid w:val="00CD6381"/>
    <w:rsid w:val="00CD657B"/>
    <w:rsid w:val="00CD73CB"/>
    <w:rsid w:val="00CD7C67"/>
    <w:rsid w:val="00CE00EF"/>
    <w:rsid w:val="00CE0613"/>
    <w:rsid w:val="00CE0BBC"/>
    <w:rsid w:val="00CE0DC5"/>
    <w:rsid w:val="00CE0E17"/>
    <w:rsid w:val="00CE0F4E"/>
    <w:rsid w:val="00CE0F5E"/>
    <w:rsid w:val="00CE1683"/>
    <w:rsid w:val="00CE226D"/>
    <w:rsid w:val="00CE26B4"/>
    <w:rsid w:val="00CE31F3"/>
    <w:rsid w:val="00CE3318"/>
    <w:rsid w:val="00CE3597"/>
    <w:rsid w:val="00CE376E"/>
    <w:rsid w:val="00CE4314"/>
    <w:rsid w:val="00CE49F7"/>
    <w:rsid w:val="00CE4BF8"/>
    <w:rsid w:val="00CE4DD7"/>
    <w:rsid w:val="00CE537E"/>
    <w:rsid w:val="00CE57A7"/>
    <w:rsid w:val="00CE68CC"/>
    <w:rsid w:val="00CE6903"/>
    <w:rsid w:val="00CE6C18"/>
    <w:rsid w:val="00CE7927"/>
    <w:rsid w:val="00CF0DA6"/>
    <w:rsid w:val="00CF1017"/>
    <w:rsid w:val="00CF1A2F"/>
    <w:rsid w:val="00CF1A64"/>
    <w:rsid w:val="00CF2058"/>
    <w:rsid w:val="00CF2258"/>
    <w:rsid w:val="00CF2BD2"/>
    <w:rsid w:val="00CF2CC0"/>
    <w:rsid w:val="00CF3240"/>
    <w:rsid w:val="00CF37EE"/>
    <w:rsid w:val="00CF3C81"/>
    <w:rsid w:val="00CF3CA0"/>
    <w:rsid w:val="00CF4A48"/>
    <w:rsid w:val="00CF6775"/>
    <w:rsid w:val="00CF7905"/>
    <w:rsid w:val="00CF79ED"/>
    <w:rsid w:val="00CF7B06"/>
    <w:rsid w:val="00D0045B"/>
    <w:rsid w:val="00D0104D"/>
    <w:rsid w:val="00D01651"/>
    <w:rsid w:val="00D01C14"/>
    <w:rsid w:val="00D02624"/>
    <w:rsid w:val="00D027A9"/>
    <w:rsid w:val="00D03F23"/>
    <w:rsid w:val="00D04B85"/>
    <w:rsid w:val="00D05B00"/>
    <w:rsid w:val="00D06F8C"/>
    <w:rsid w:val="00D071FB"/>
    <w:rsid w:val="00D07D3B"/>
    <w:rsid w:val="00D07DC1"/>
    <w:rsid w:val="00D07FF9"/>
    <w:rsid w:val="00D11BEE"/>
    <w:rsid w:val="00D11D3A"/>
    <w:rsid w:val="00D12107"/>
    <w:rsid w:val="00D1236E"/>
    <w:rsid w:val="00D124FB"/>
    <w:rsid w:val="00D12EA9"/>
    <w:rsid w:val="00D138DC"/>
    <w:rsid w:val="00D138EC"/>
    <w:rsid w:val="00D13FDE"/>
    <w:rsid w:val="00D14464"/>
    <w:rsid w:val="00D14615"/>
    <w:rsid w:val="00D148CC"/>
    <w:rsid w:val="00D14916"/>
    <w:rsid w:val="00D14FCD"/>
    <w:rsid w:val="00D15278"/>
    <w:rsid w:val="00D1587D"/>
    <w:rsid w:val="00D158F7"/>
    <w:rsid w:val="00D15A6F"/>
    <w:rsid w:val="00D15BD3"/>
    <w:rsid w:val="00D16010"/>
    <w:rsid w:val="00D16AB5"/>
    <w:rsid w:val="00D17A7A"/>
    <w:rsid w:val="00D210B6"/>
    <w:rsid w:val="00D21143"/>
    <w:rsid w:val="00D21214"/>
    <w:rsid w:val="00D21CA0"/>
    <w:rsid w:val="00D2304C"/>
    <w:rsid w:val="00D241F3"/>
    <w:rsid w:val="00D245AE"/>
    <w:rsid w:val="00D247F4"/>
    <w:rsid w:val="00D2497D"/>
    <w:rsid w:val="00D24C94"/>
    <w:rsid w:val="00D25FD0"/>
    <w:rsid w:val="00D261F8"/>
    <w:rsid w:val="00D26D7D"/>
    <w:rsid w:val="00D2703C"/>
    <w:rsid w:val="00D27788"/>
    <w:rsid w:val="00D27C8B"/>
    <w:rsid w:val="00D27F8B"/>
    <w:rsid w:val="00D308F1"/>
    <w:rsid w:val="00D30C4A"/>
    <w:rsid w:val="00D31331"/>
    <w:rsid w:val="00D31513"/>
    <w:rsid w:val="00D322BE"/>
    <w:rsid w:val="00D3252F"/>
    <w:rsid w:val="00D32A8B"/>
    <w:rsid w:val="00D330F2"/>
    <w:rsid w:val="00D3340A"/>
    <w:rsid w:val="00D336A0"/>
    <w:rsid w:val="00D34211"/>
    <w:rsid w:val="00D3453E"/>
    <w:rsid w:val="00D34818"/>
    <w:rsid w:val="00D3533D"/>
    <w:rsid w:val="00D353C2"/>
    <w:rsid w:val="00D35661"/>
    <w:rsid w:val="00D35667"/>
    <w:rsid w:val="00D35BA9"/>
    <w:rsid w:val="00D3659F"/>
    <w:rsid w:val="00D366A1"/>
    <w:rsid w:val="00D36ECC"/>
    <w:rsid w:val="00D373D9"/>
    <w:rsid w:val="00D3781B"/>
    <w:rsid w:val="00D3786F"/>
    <w:rsid w:val="00D37BE7"/>
    <w:rsid w:val="00D40114"/>
    <w:rsid w:val="00D40930"/>
    <w:rsid w:val="00D41345"/>
    <w:rsid w:val="00D41C60"/>
    <w:rsid w:val="00D42B59"/>
    <w:rsid w:val="00D42D19"/>
    <w:rsid w:val="00D43F0B"/>
    <w:rsid w:val="00D440AD"/>
    <w:rsid w:val="00D44413"/>
    <w:rsid w:val="00D44613"/>
    <w:rsid w:val="00D4468E"/>
    <w:rsid w:val="00D455B9"/>
    <w:rsid w:val="00D4693A"/>
    <w:rsid w:val="00D46B87"/>
    <w:rsid w:val="00D47655"/>
    <w:rsid w:val="00D47A95"/>
    <w:rsid w:val="00D47DBA"/>
    <w:rsid w:val="00D502FE"/>
    <w:rsid w:val="00D505F4"/>
    <w:rsid w:val="00D506AC"/>
    <w:rsid w:val="00D50933"/>
    <w:rsid w:val="00D50C2B"/>
    <w:rsid w:val="00D50D70"/>
    <w:rsid w:val="00D51157"/>
    <w:rsid w:val="00D52902"/>
    <w:rsid w:val="00D52AB1"/>
    <w:rsid w:val="00D52BE8"/>
    <w:rsid w:val="00D53310"/>
    <w:rsid w:val="00D53D5B"/>
    <w:rsid w:val="00D546EE"/>
    <w:rsid w:val="00D5596D"/>
    <w:rsid w:val="00D5684F"/>
    <w:rsid w:val="00D56854"/>
    <w:rsid w:val="00D56B20"/>
    <w:rsid w:val="00D5729A"/>
    <w:rsid w:val="00D575BA"/>
    <w:rsid w:val="00D57731"/>
    <w:rsid w:val="00D5791B"/>
    <w:rsid w:val="00D57E79"/>
    <w:rsid w:val="00D606FA"/>
    <w:rsid w:val="00D60EF7"/>
    <w:rsid w:val="00D60F22"/>
    <w:rsid w:val="00D6139D"/>
    <w:rsid w:val="00D614C8"/>
    <w:rsid w:val="00D61FA9"/>
    <w:rsid w:val="00D62FCF"/>
    <w:rsid w:val="00D635DF"/>
    <w:rsid w:val="00D6377D"/>
    <w:rsid w:val="00D63CA3"/>
    <w:rsid w:val="00D64142"/>
    <w:rsid w:val="00D64454"/>
    <w:rsid w:val="00D650D5"/>
    <w:rsid w:val="00D651B4"/>
    <w:rsid w:val="00D655AE"/>
    <w:rsid w:val="00D66042"/>
    <w:rsid w:val="00D6607A"/>
    <w:rsid w:val="00D66A42"/>
    <w:rsid w:val="00D67405"/>
    <w:rsid w:val="00D67653"/>
    <w:rsid w:val="00D67FF0"/>
    <w:rsid w:val="00D701CC"/>
    <w:rsid w:val="00D70B4E"/>
    <w:rsid w:val="00D711B4"/>
    <w:rsid w:val="00D71AFD"/>
    <w:rsid w:val="00D72244"/>
    <w:rsid w:val="00D72278"/>
    <w:rsid w:val="00D724BC"/>
    <w:rsid w:val="00D7308A"/>
    <w:rsid w:val="00D737C9"/>
    <w:rsid w:val="00D73CC5"/>
    <w:rsid w:val="00D73DA2"/>
    <w:rsid w:val="00D74118"/>
    <w:rsid w:val="00D74881"/>
    <w:rsid w:val="00D748DC"/>
    <w:rsid w:val="00D74F37"/>
    <w:rsid w:val="00D7617F"/>
    <w:rsid w:val="00D768A2"/>
    <w:rsid w:val="00D76973"/>
    <w:rsid w:val="00D769B1"/>
    <w:rsid w:val="00D76A5A"/>
    <w:rsid w:val="00D77E83"/>
    <w:rsid w:val="00D77EA7"/>
    <w:rsid w:val="00D8040C"/>
    <w:rsid w:val="00D81742"/>
    <w:rsid w:val="00D81BB3"/>
    <w:rsid w:val="00D820B6"/>
    <w:rsid w:val="00D820DC"/>
    <w:rsid w:val="00D82642"/>
    <w:rsid w:val="00D82F44"/>
    <w:rsid w:val="00D8391C"/>
    <w:rsid w:val="00D84673"/>
    <w:rsid w:val="00D8572F"/>
    <w:rsid w:val="00D85D9F"/>
    <w:rsid w:val="00D86404"/>
    <w:rsid w:val="00D87056"/>
    <w:rsid w:val="00D87FF1"/>
    <w:rsid w:val="00D90050"/>
    <w:rsid w:val="00D91007"/>
    <w:rsid w:val="00D91399"/>
    <w:rsid w:val="00D915B8"/>
    <w:rsid w:val="00D91DA3"/>
    <w:rsid w:val="00D91E1B"/>
    <w:rsid w:val="00D91E99"/>
    <w:rsid w:val="00D930F0"/>
    <w:rsid w:val="00D93C9A"/>
    <w:rsid w:val="00D93E7B"/>
    <w:rsid w:val="00D93EF8"/>
    <w:rsid w:val="00D9482B"/>
    <w:rsid w:val="00D94ECD"/>
    <w:rsid w:val="00D95295"/>
    <w:rsid w:val="00D954A8"/>
    <w:rsid w:val="00D95744"/>
    <w:rsid w:val="00D95834"/>
    <w:rsid w:val="00D97227"/>
    <w:rsid w:val="00D97A53"/>
    <w:rsid w:val="00DA0387"/>
    <w:rsid w:val="00DA06CE"/>
    <w:rsid w:val="00DA09BD"/>
    <w:rsid w:val="00DA0ABB"/>
    <w:rsid w:val="00DA1C08"/>
    <w:rsid w:val="00DA248B"/>
    <w:rsid w:val="00DA2A48"/>
    <w:rsid w:val="00DA2E8F"/>
    <w:rsid w:val="00DA35AC"/>
    <w:rsid w:val="00DA3E4E"/>
    <w:rsid w:val="00DA4796"/>
    <w:rsid w:val="00DA4C4B"/>
    <w:rsid w:val="00DA649E"/>
    <w:rsid w:val="00DA6519"/>
    <w:rsid w:val="00DA6E45"/>
    <w:rsid w:val="00DA721C"/>
    <w:rsid w:val="00DA7560"/>
    <w:rsid w:val="00DA7C3F"/>
    <w:rsid w:val="00DA7C7A"/>
    <w:rsid w:val="00DA7D82"/>
    <w:rsid w:val="00DA7E45"/>
    <w:rsid w:val="00DB06F7"/>
    <w:rsid w:val="00DB1D26"/>
    <w:rsid w:val="00DB206B"/>
    <w:rsid w:val="00DB2223"/>
    <w:rsid w:val="00DB2305"/>
    <w:rsid w:val="00DB3A4B"/>
    <w:rsid w:val="00DB3CCC"/>
    <w:rsid w:val="00DB3D7C"/>
    <w:rsid w:val="00DB4186"/>
    <w:rsid w:val="00DB430E"/>
    <w:rsid w:val="00DB46AF"/>
    <w:rsid w:val="00DB4837"/>
    <w:rsid w:val="00DB49EB"/>
    <w:rsid w:val="00DB52D7"/>
    <w:rsid w:val="00DB5B37"/>
    <w:rsid w:val="00DB5EB0"/>
    <w:rsid w:val="00DB6BFB"/>
    <w:rsid w:val="00DB7331"/>
    <w:rsid w:val="00DB741B"/>
    <w:rsid w:val="00DB7D67"/>
    <w:rsid w:val="00DB7FBF"/>
    <w:rsid w:val="00DC063A"/>
    <w:rsid w:val="00DC0939"/>
    <w:rsid w:val="00DC09B8"/>
    <w:rsid w:val="00DC1252"/>
    <w:rsid w:val="00DC132E"/>
    <w:rsid w:val="00DC16C9"/>
    <w:rsid w:val="00DC1830"/>
    <w:rsid w:val="00DC1984"/>
    <w:rsid w:val="00DC213A"/>
    <w:rsid w:val="00DC257A"/>
    <w:rsid w:val="00DC26E2"/>
    <w:rsid w:val="00DC2C34"/>
    <w:rsid w:val="00DC2FF1"/>
    <w:rsid w:val="00DC3525"/>
    <w:rsid w:val="00DC3A9C"/>
    <w:rsid w:val="00DC41A9"/>
    <w:rsid w:val="00DC41C4"/>
    <w:rsid w:val="00DC4549"/>
    <w:rsid w:val="00DC4779"/>
    <w:rsid w:val="00DC56D2"/>
    <w:rsid w:val="00DC5E5B"/>
    <w:rsid w:val="00DC6B8A"/>
    <w:rsid w:val="00DC6F06"/>
    <w:rsid w:val="00DC7277"/>
    <w:rsid w:val="00DC751E"/>
    <w:rsid w:val="00DC7AEC"/>
    <w:rsid w:val="00DD033A"/>
    <w:rsid w:val="00DD079C"/>
    <w:rsid w:val="00DD0EB0"/>
    <w:rsid w:val="00DD3277"/>
    <w:rsid w:val="00DD461D"/>
    <w:rsid w:val="00DD4A64"/>
    <w:rsid w:val="00DD5579"/>
    <w:rsid w:val="00DD57B0"/>
    <w:rsid w:val="00DD5885"/>
    <w:rsid w:val="00DD5D26"/>
    <w:rsid w:val="00DD5EAC"/>
    <w:rsid w:val="00DD69C3"/>
    <w:rsid w:val="00DD6AFA"/>
    <w:rsid w:val="00DD7F28"/>
    <w:rsid w:val="00DE05A7"/>
    <w:rsid w:val="00DE08CD"/>
    <w:rsid w:val="00DE0AF5"/>
    <w:rsid w:val="00DE1A58"/>
    <w:rsid w:val="00DE209D"/>
    <w:rsid w:val="00DE2638"/>
    <w:rsid w:val="00DE26B2"/>
    <w:rsid w:val="00DE26E7"/>
    <w:rsid w:val="00DE2B67"/>
    <w:rsid w:val="00DE3783"/>
    <w:rsid w:val="00DE3F4A"/>
    <w:rsid w:val="00DE42FD"/>
    <w:rsid w:val="00DE4349"/>
    <w:rsid w:val="00DE51D3"/>
    <w:rsid w:val="00DE5258"/>
    <w:rsid w:val="00DE57D3"/>
    <w:rsid w:val="00DE62E9"/>
    <w:rsid w:val="00DE653D"/>
    <w:rsid w:val="00DE6942"/>
    <w:rsid w:val="00DE6A28"/>
    <w:rsid w:val="00DE7E04"/>
    <w:rsid w:val="00DF05B5"/>
    <w:rsid w:val="00DF0B24"/>
    <w:rsid w:val="00DF0CC1"/>
    <w:rsid w:val="00DF106F"/>
    <w:rsid w:val="00DF179C"/>
    <w:rsid w:val="00DF2143"/>
    <w:rsid w:val="00DF2C9C"/>
    <w:rsid w:val="00DF2DF3"/>
    <w:rsid w:val="00DF30ED"/>
    <w:rsid w:val="00DF31D1"/>
    <w:rsid w:val="00DF3B0D"/>
    <w:rsid w:val="00DF3B0E"/>
    <w:rsid w:val="00DF3D46"/>
    <w:rsid w:val="00DF4164"/>
    <w:rsid w:val="00DF5F8B"/>
    <w:rsid w:val="00DF6442"/>
    <w:rsid w:val="00DF66D6"/>
    <w:rsid w:val="00DF753E"/>
    <w:rsid w:val="00DF7C7A"/>
    <w:rsid w:val="00E00F68"/>
    <w:rsid w:val="00E00F71"/>
    <w:rsid w:val="00E0113F"/>
    <w:rsid w:val="00E01794"/>
    <w:rsid w:val="00E01827"/>
    <w:rsid w:val="00E01BD7"/>
    <w:rsid w:val="00E030E0"/>
    <w:rsid w:val="00E033F5"/>
    <w:rsid w:val="00E037BE"/>
    <w:rsid w:val="00E041E2"/>
    <w:rsid w:val="00E04567"/>
    <w:rsid w:val="00E045A3"/>
    <w:rsid w:val="00E04CC6"/>
    <w:rsid w:val="00E05720"/>
    <w:rsid w:val="00E05D30"/>
    <w:rsid w:val="00E05F9D"/>
    <w:rsid w:val="00E06245"/>
    <w:rsid w:val="00E069AB"/>
    <w:rsid w:val="00E06C2F"/>
    <w:rsid w:val="00E07BC8"/>
    <w:rsid w:val="00E07CE5"/>
    <w:rsid w:val="00E10137"/>
    <w:rsid w:val="00E10582"/>
    <w:rsid w:val="00E1063F"/>
    <w:rsid w:val="00E1071B"/>
    <w:rsid w:val="00E10B29"/>
    <w:rsid w:val="00E11937"/>
    <w:rsid w:val="00E12549"/>
    <w:rsid w:val="00E12812"/>
    <w:rsid w:val="00E128BA"/>
    <w:rsid w:val="00E12AAF"/>
    <w:rsid w:val="00E12B59"/>
    <w:rsid w:val="00E132C1"/>
    <w:rsid w:val="00E134EB"/>
    <w:rsid w:val="00E1370E"/>
    <w:rsid w:val="00E15185"/>
    <w:rsid w:val="00E156DE"/>
    <w:rsid w:val="00E15875"/>
    <w:rsid w:val="00E15B5F"/>
    <w:rsid w:val="00E15E7F"/>
    <w:rsid w:val="00E163AB"/>
    <w:rsid w:val="00E1645E"/>
    <w:rsid w:val="00E1646C"/>
    <w:rsid w:val="00E168F3"/>
    <w:rsid w:val="00E16986"/>
    <w:rsid w:val="00E16D2A"/>
    <w:rsid w:val="00E177A1"/>
    <w:rsid w:val="00E177D0"/>
    <w:rsid w:val="00E17CF0"/>
    <w:rsid w:val="00E17E8C"/>
    <w:rsid w:val="00E20F92"/>
    <w:rsid w:val="00E2173D"/>
    <w:rsid w:val="00E218DC"/>
    <w:rsid w:val="00E21C1D"/>
    <w:rsid w:val="00E22763"/>
    <w:rsid w:val="00E22CD5"/>
    <w:rsid w:val="00E22F58"/>
    <w:rsid w:val="00E2305A"/>
    <w:rsid w:val="00E23AD7"/>
    <w:rsid w:val="00E24FF6"/>
    <w:rsid w:val="00E252A2"/>
    <w:rsid w:val="00E258CA"/>
    <w:rsid w:val="00E260CA"/>
    <w:rsid w:val="00E265C7"/>
    <w:rsid w:val="00E26603"/>
    <w:rsid w:val="00E26641"/>
    <w:rsid w:val="00E2687C"/>
    <w:rsid w:val="00E26A1D"/>
    <w:rsid w:val="00E26B2A"/>
    <w:rsid w:val="00E270CC"/>
    <w:rsid w:val="00E30719"/>
    <w:rsid w:val="00E30AA0"/>
    <w:rsid w:val="00E31682"/>
    <w:rsid w:val="00E3294C"/>
    <w:rsid w:val="00E33C52"/>
    <w:rsid w:val="00E33D83"/>
    <w:rsid w:val="00E35019"/>
    <w:rsid w:val="00E3567C"/>
    <w:rsid w:val="00E3617D"/>
    <w:rsid w:val="00E361E2"/>
    <w:rsid w:val="00E36A0C"/>
    <w:rsid w:val="00E37CCD"/>
    <w:rsid w:val="00E37CFF"/>
    <w:rsid w:val="00E37F5E"/>
    <w:rsid w:val="00E400B4"/>
    <w:rsid w:val="00E406B9"/>
    <w:rsid w:val="00E41A67"/>
    <w:rsid w:val="00E41E3B"/>
    <w:rsid w:val="00E42E88"/>
    <w:rsid w:val="00E4313F"/>
    <w:rsid w:val="00E436B9"/>
    <w:rsid w:val="00E43B06"/>
    <w:rsid w:val="00E43C0D"/>
    <w:rsid w:val="00E44197"/>
    <w:rsid w:val="00E44C29"/>
    <w:rsid w:val="00E44DF3"/>
    <w:rsid w:val="00E4508D"/>
    <w:rsid w:val="00E46618"/>
    <w:rsid w:val="00E46BE5"/>
    <w:rsid w:val="00E47328"/>
    <w:rsid w:val="00E47C5F"/>
    <w:rsid w:val="00E47FFD"/>
    <w:rsid w:val="00E506FE"/>
    <w:rsid w:val="00E50835"/>
    <w:rsid w:val="00E50A35"/>
    <w:rsid w:val="00E50AB0"/>
    <w:rsid w:val="00E50FDB"/>
    <w:rsid w:val="00E51902"/>
    <w:rsid w:val="00E51D7E"/>
    <w:rsid w:val="00E52909"/>
    <w:rsid w:val="00E52FD0"/>
    <w:rsid w:val="00E53404"/>
    <w:rsid w:val="00E539D6"/>
    <w:rsid w:val="00E53A2D"/>
    <w:rsid w:val="00E53FB6"/>
    <w:rsid w:val="00E543D1"/>
    <w:rsid w:val="00E5474E"/>
    <w:rsid w:val="00E547C9"/>
    <w:rsid w:val="00E54E0B"/>
    <w:rsid w:val="00E550E3"/>
    <w:rsid w:val="00E5544F"/>
    <w:rsid w:val="00E55C1D"/>
    <w:rsid w:val="00E55E19"/>
    <w:rsid w:val="00E55E3B"/>
    <w:rsid w:val="00E565BA"/>
    <w:rsid w:val="00E56A4E"/>
    <w:rsid w:val="00E57674"/>
    <w:rsid w:val="00E57D05"/>
    <w:rsid w:val="00E600C5"/>
    <w:rsid w:val="00E602C2"/>
    <w:rsid w:val="00E62DC2"/>
    <w:rsid w:val="00E6377F"/>
    <w:rsid w:val="00E638CA"/>
    <w:rsid w:val="00E6399C"/>
    <w:rsid w:val="00E64A55"/>
    <w:rsid w:val="00E65545"/>
    <w:rsid w:val="00E6558A"/>
    <w:rsid w:val="00E6601E"/>
    <w:rsid w:val="00E66419"/>
    <w:rsid w:val="00E664D9"/>
    <w:rsid w:val="00E6664F"/>
    <w:rsid w:val="00E67BE7"/>
    <w:rsid w:val="00E67D8C"/>
    <w:rsid w:val="00E70572"/>
    <w:rsid w:val="00E70EA6"/>
    <w:rsid w:val="00E710B7"/>
    <w:rsid w:val="00E712A1"/>
    <w:rsid w:val="00E71A2B"/>
    <w:rsid w:val="00E71B9B"/>
    <w:rsid w:val="00E71D2C"/>
    <w:rsid w:val="00E72551"/>
    <w:rsid w:val="00E72883"/>
    <w:rsid w:val="00E72CA2"/>
    <w:rsid w:val="00E73144"/>
    <w:rsid w:val="00E7321A"/>
    <w:rsid w:val="00E73296"/>
    <w:rsid w:val="00E73E9F"/>
    <w:rsid w:val="00E74896"/>
    <w:rsid w:val="00E75587"/>
    <w:rsid w:val="00E75912"/>
    <w:rsid w:val="00E75C56"/>
    <w:rsid w:val="00E76854"/>
    <w:rsid w:val="00E76897"/>
    <w:rsid w:val="00E76975"/>
    <w:rsid w:val="00E76D9B"/>
    <w:rsid w:val="00E7717E"/>
    <w:rsid w:val="00E7718A"/>
    <w:rsid w:val="00E77255"/>
    <w:rsid w:val="00E77A61"/>
    <w:rsid w:val="00E77EE0"/>
    <w:rsid w:val="00E800A0"/>
    <w:rsid w:val="00E804E1"/>
    <w:rsid w:val="00E80596"/>
    <w:rsid w:val="00E809CA"/>
    <w:rsid w:val="00E80C7A"/>
    <w:rsid w:val="00E80F47"/>
    <w:rsid w:val="00E81FEC"/>
    <w:rsid w:val="00E82075"/>
    <w:rsid w:val="00E820CD"/>
    <w:rsid w:val="00E83CDC"/>
    <w:rsid w:val="00E84043"/>
    <w:rsid w:val="00E84380"/>
    <w:rsid w:val="00E847EE"/>
    <w:rsid w:val="00E85450"/>
    <w:rsid w:val="00E85C99"/>
    <w:rsid w:val="00E86ECF"/>
    <w:rsid w:val="00E8700F"/>
    <w:rsid w:val="00E878B1"/>
    <w:rsid w:val="00E87B3D"/>
    <w:rsid w:val="00E87FF2"/>
    <w:rsid w:val="00E90155"/>
    <w:rsid w:val="00E90BAF"/>
    <w:rsid w:val="00E91586"/>
    <w:rsid w:val="00E91902"/>
    <w:rsid w:val="00E91E6C"/>
    <w:rsid w:val="00E91EE1"/>
    <w:rsid w:val="00E924DA"/>
    <w:rsid w:val="00E926AD"/>
    <w:rsid w:val="00E9295B"/>
    <w:rsid w:val="00E92A44"/>
    <w:rsid w:val="00E934B0"/>
    <w:rsid w:val="00E93AD6"/>
    <w:rsid w:val="00E93C89"/>
    <w:rsid w:val="00E93CB5"/>
    <w:rsid w:val="00E953DC"/>
    <w:rsid w:val="00E95815"/>
    <w:rsid w:val="00E9617E"/>
    <w:rsid w:val="00E966C2"/>
    <w:rsid w:val="00E96BA5"/>
    <w:rsid w:val="00E97347"/>
    <w:rsid w:val="00E97E30"/>
    <w:rsid w:val="00EA0A5F"/>
    <w:rsid w:val="00EA0E79"/>
    <w:rsid w:val="00EA1A5F"/>
    <w:rsid w:val="00EA1E53"/>
    <w:rsid w:val="00EA220A"/>
    <w:rsid w:val="00EA2524"/>
    <w:rsid w:val="00EA26E8"/>
    <w:rsid w:val="00EA2E44"/>
    <w:rsid w:val="00EA328C"/>
    <w:rsid w:val="00EA3749"/>
    <w:rsid w:val="00EA387A"/>
    <w:rsid w:val="00EA3963"/>
    <w:rsid w:val="00EA45B4"/>
    <w:rsid w:val="00EA4B53"/>
    <w:rsid w:val="00EA503A"/>
    <w:rsid w:val="00EA5E5F"/>
    <w:rsid w:val="00EA5F09"/>
    <w:rsid w:val="00EA5F42"/>
    <w:rsid w:val="00EA6A0B"/>
    <w:rsid w:val="00EB05A1"/>
    <w:rsid w:val="00EB05F8"/>
    <w:rsid w:val="00EB0CA8"/>
    <w:rsid w:val="00EB0E51"/>
    <w:rsid w:val="00EB10D2"/>
    <w:rsid w:val="00EB2065"/>
    <w:rsid w:val="00EB2139"/>
    <w:rsid w:val="00EB2233"/>
    <w:rsid w:val="00EB2756"/>
    <w:rsid w:val="00EB29A8"/>
    <w:rsid w:val="00EB2AFA"/>
    <w:rsid w:val="00EB2B1D"/>
    <w:rsid w:val="00EB2B51"/>
    <w:rsid w:val="00EB2F70"/>
    <w:rsid w:val="00EB316B"/>
    <w:rsid w:val="00EB34D0"/>
    <w:rsid w:val="00EB39AC"/>
    <w:rsid w:val="00EB3E96"/>
    <w:rsid w:val="00EB3FD7"/>
    <w:rsid w:val="00EB48D9"/>
    <w:rsid w:val="00EB5714"/>
    <w:rsid w:val="00EB6B46"/>
    <w:rsid w:val="00EB76F8"/>
    <w:rsid w:val="00EB7BA8"/>
    <w:rsid w:val="00EC0362"/>
    <w:rsid w:val="00EC043F"/>
    <w:rsid w:val="00EC0BE5"/>
    <w:rsid w:val="00EC1C64"/>
    <w:rsid w:val="00EC22C1"/>
    <w:rsid w:val="00EC22CB"/>
    <w:rsid w:val="00EC2335"/>
    <w:rsid w:val="00EC23BF"/>
    <w:rsid w:val="00EC32E5"/>
    <w:rsid w:val="00EC3818"/>
    <w:rsid w:val="00EC4499"/>
    <w:rsid w:val="00EC4CF3"/>
    <w:rsid w:val="00EC5812"/>
    <w:rsid w:val="00EC623D"/>
    <w:rsid w:val="00EC6351"/>
    <w:rsid w:val="00EC642C"/>
    <w:rsid w:val="00EC651F"/>
    <w:rsid w:val="00EC6A4C"/>
    <w:rsid w:val="00EC6EA8"/>
    <w:rsid w:val="00EC6F8B"/>
    <w:rsid w:val="00ED00C4"/>
    <w:rsid w:val="00ED15E0"/>
    <w:rsid w:val="00ED22DB"/>
    <w:rsid w:val="00ED2801"/>
    <w:rsid w:val="00ED33F8"/>
    <w:rsid w:val="00ED3ED4"/>
    <w:rsid w:val="00ED519B"/>
    <w:rsid w:val="00ED52D6"/>
    <w:rsid w:val="00ED6AB7"/>
    <w:rsid w:val="00ED6C47"/>
    <w:rsid w:val="00ED6D3E"/>
    <w:rsid w:val="00ED6ED5"/>
    <w:rsid w:val="00ED7D77"/>
    <w:rsid w:val="00ED7EA0"/>
    <w:rsid w:val="00EE0088"/>
    <w:rsid w:val="00EE027B"/>
    <w:rsid w:val="00EE0C65"/>
    <w:rsid w:val="00EE1461"/>
    <w:rsid w:val="00EE2595"/>
    <w:rsid w:val="00EE2665"/>
    <w:rsid w:val="00EE2669"/>
    <w:rsid w:val="00EE277D"/>
    <w:rsid w:val="00EE27C8"/>
    <w:rsid w:val="00EE2D0C"/>
    <w:rsid w:val="00EE3A0D"/>
    <w:rsid w:val="00EE4335"/>
    <w:rsid w:val="00EE46B6"/>
    <w:rsid w:val="00EE4B77"/>
    <w:rsid w:val="00EE4E26"/>
    <w:rsid w:val="00EE51DB"/>
    <w:rsid w:val="00EE5528"/>
    <w:rsid w:val="00EE5F5F"/>
    <w:rsid w:val="00EE60CB"/>
    <w:rsid w:val="00EE656A"/>
    <w:rsid w:val="00EE65CE"/>
    <w:rsid w:val="00EE6747"/>
    <w:rsid w:val="00EE67A7"/>
    <w:rsid w:val="00EE6AC9"/>
    <w:rsid w:val="00EE6F17"/>
    <w:rsid w:val="00EE735E"/>
    <w:rsid w:val="00EF1C07"/>
    <w:rsid w:val="00EF1F9E"/>
    <w:rsid w:val="00EF2353"/>
    <w:rsid w:val="00EF252B"/>
    <w:rsid w:val="00EF2B5A"/>
    <w:rsid w:val="00EF2D5C"/>
    <w:rsid w:val="00EF3D6E"/>
    <w:rsid w:val="00EF4041"/>
    <w:rsid w:val="00EF5144"/>
    <w:rsid w:val="00EF59A5"/>
    <w:rsid w:val="00EF65F4"/>
    <w:rsid w:val="00EF6906"/>
    <w:rsid w:val="00EF6BEA"/>
    <w:rsid w:val="00EF7D3F"/>
    <w:rsid w:val="00F00F1D"/>
    <w:rsid w:val="00F00F5F"/>
    <w:rsid w:val="00F020DF"/>
    <w:rsid w:val="00F0271C"/>
    <w:rsid w:val="00F02E72"/>
    <w:rsid w:val="00F02FA0"/>
    <w:rsid w:val="00F032CB"/>
    <w:rsid w:val="00F03769"/>
    <w:rsid w:val="00F03EB3"/>
    <w:rsid w:val="00F045E8"/>
    <w:rsid w:val="00F04ECB"/>
    <w:rsid w:val="00F05010"/>
    <w:rsid w:val="00F0545C"/>
    <w:rsid w:val="00F055CB"/>
    <w:rsid w:val="00F059D3"/>
    <w:rsid w:val="00F06282"/>
    <w:rsid w:val="00F066B2"/>
    <w:rsid w:val="00F06D68"/>
    <w:rsid w:val="00F07784"/>
    <w:rsid w:val="00F077A4"/>
    <w:rsid w:val="00F07CC8"/>
    <w:rsid w:val="00F10FCD"/>
    <w:rsid w:val="00F11714"/>
    <w:rsid w:val="00F118CC"/>
    <w:rsid w:val="00F11EB4"/>
    <w:rsid w:val="00F123AC"/>
    <w:rsid w:val="00F12B39"/>
    <w:rsid w:val="00F137FF"/>
    <w:rsid w:val="00F13A0F"/>
    <w:rsid w:val="00F13A70"/>
    <w:rsid w:val="00F1559E"/>
    <w:rsid w:val="00F167E3"/>
    <w:rsid w:val="00F16873"/>
    <w:rsid w:val="00F16B41"/>
    <w:rsid w:val="00F1702E"/>
    <w:rsid w:val="00F17B38"/>
    <w:rsid w:val="00F2052D"/>
    <w:rsid w:val="00F20653"/>
    <w:rsid w:val="00F20AD9"/>
    <w:rsid w:val="00F21520"/>
    <w:rsid w:val="00F21581"/>
    <w:rsid w:val="00F21928"/>
    <w:rsid w:val="00F220BC"/>
    <w:rsid w:val="00F23C98"/>
    <w:rsid w:val="00F23F08"/>
    <w:rsid w:val="00F24236"/>
    <w:rsid w:val="00F24306"/>
    <w:rsid w:val="00F25192"/>
    <w:rsid w:val="00F2555B"/>
    <w:rsid w:val="00F268C3"/>
    <w:rsid w:val="00F26BC3"/>
    <w:rsid w:val="00F26E88"/>
    <w:rsid w:val="00F271CA"/>
    <w:rsid w:val="00F27314"/>
    <w:rsid w:val="00F274DB"/>
    <w:rsid w:val="00F278CF"/>
    <w:rsid w:val="00F3094A"/>
    <w:rsid w:val="00F309FD"/>
    <w:rsid w:val="00F30FC1"/>
    <w:rsid w:val="00F31519"/>
    <w:rsid w:val="00F316AA"/>
    <w:rsid w:val="00F31C42"/>
    <w:rsid w:val="00F31F18"/>
    <w:rsid w:val="00F31FD2"/>
    <w:rsid w:val="00F32164"/>
    <w:rsid w:val="00F338E1"/>
    <w:rsid w:val="00F3647D"/>
    <w:rsid w:val="00F364FE"/>
    <w:rsid w:val="00F36F80"/>
    <w:rsid w:val="00F377D6"/>
    <w:rsid w:val="00F37A66"/>
    <w:rsid w:val="00F37C18"/>
    <w:rsid w:val="00F40264"/>
    <w:rsid w:val="00F41257"/>
    <w:rsid w:val="00F416BC"/>
    <w:rsid w:val="00F41A88"/>
    <w:rsid w:val="00F41BD0"/>
    <w:rsid w:val="00F422EE"/>
    <w:rsid w:val="00F42345"/>
    <w:rsid w:val="00F423D4"/>
    <w:rsid w:val="00F427BD"/>
    <w:rsid w:val="00F43A6A"/>
    <w:rsid w:val="00F449E4"/>
    <w:rsid w:val="00F44EAE"/>
    <w:rsid w:val="00F45491"/>
    <w:rsid w:val="00F45614"/>
    <w:rsid w:val="00F45970"/>
    <w:rsid w:val="00F45C1E"/>
    <w:rsid w:val="00F46BD5"/>
    <w:rsid w:val="00F470BF"/>
    <w:rsid w:val="00F47A9D"/>
    <w:rsid w:val="00F47B27"/>
    <w:rsid w:val="00F506CF"/>
    <w:rsid w:val="00F50915"/>
    <w:rsid w:val="00F50B46"/>
    <w:rsid w:val="00F50DD2"/>
    <w:rsid w:val="00F51283"/>
    <w:rsid w:val="00F513DA"/>
    <w:rsid w:val="00F51A9A"/>
    <w:rsid w:val="00F5214D"/>
    <w:rsid w:val="00F521B4"/>
    <w:rsid w:val="00F5281C"/>
    <w:rsid w:val="00F53156"/>
    <w:rsid w:val="00F53CC3"/>
    <w:rsid w:val="00F53FFD"/>
    <w:rsid w:val="00F546AA"/>
    <w:rsid w:val="00F557CB"/>
    <w:rsid w:val="00F5612F"/>
    <w:rsid w:val="00F563CA"/>
    <w:rsid w:val="00F563D5"/>
    <w:rsid w:val="00F563D7"/>
    <w:rsid w:val="00F569EF"/>
    <w:rsid w:val="00F56C4A"/>
    <w:rsid w:val="00F57322"/>
    <w:rsid w:val="00F57464"/>
    <w:rsid w:val="00F577C0"/>
    <w:rsid w:val="00F57AAB"/>
    <w:rsid w:val="00F606CA"/>
    <w:rsid w:val="00F6105C"/>
    <w:rsid w:val="00F61320"/>
    <w:rsid w:val="00F61390"/>
    <w:rsid w:val="00F6150A"/>
    <w:rsid w:val="00F61DA4"/>
    <w:rsid w:val="00F61F79"/>
    <w:rsid w:val="00F62208"/>
    <w:rsid w:val="00F6246B"/>
    <w:rsid w:val="00F62C2A"/>
    <w:rsid w:val="00F62D44"/>
    <w:rsid w:val="00F62DCE"/>
    <w:rsid w:val="00F633EE"/>
    <w:rsid w:val="00F648D1"/>
    <w:rsid w:val="00F64D71"/>
    <w:rsid w:val="00F64DB8"/>
    <w:rsid w:val="00F653F7"/>
    <w:rsid w:val="00F654F9"/>
    <w:rsid w:val="00F65E59"/>
    <w:rsid w:val="00F66C99"/>
    <w:rsid w:val="00F66CD4"/>
    <w:rsid w:val="00F67C18"/>
    <w:rsid w:val="00F67E1E"/>
    <w:rsid w:val="00F70FCB"/>
    <w:rsid w:val="00F71763"/>
    <w:rsid w:val="00F717CB"/>
    <w:rsid w:val="00F719FE"/>
    <w:rsid w:val="00F71D89"/>
    <w:rsid w:val="00F71ED3"/>
    <w:rsid w:val="00F720FE"/>
    <w:rsid w:val="00F72B91"/>
    <w:rsid w:val="00F73FBB"/>
    <w:rsid w:val="00F74628"/>
    <w:rsid w:val="00F74AF1"/>
    <w:rsid w:val="00F7595D"/>
    <w:rsid w:val="00F75AD4"/>
    <w:rsid w:val="00F7661C"/>
    <w:rsid w:val="00F76ABD"/>
    <w:rsid w:val="00F77532"/>
    <w:rsid w:val="00F777E6"/>
    <w:rsid w:val="00F77826"/>
    <w:rsid w:val="00F807CD"/>
    <w:rsid w:val="00F807EA"/>
    <w:rsid w:val="00F808CE"/>
    <w:rsid w:val="00F808FB"/>
    <w:rsid w:val="00F80CDE"/>
    <w:rsid w:val="00F812E6"/>
    <w:rsid w:val="00F81C11"/>
    <w:rsid w:val="00F82179"/>
    <w:rsid w:val="00F82E86"/>
    <w:rsid w:val="00F83253"/>
    <w:rsid w:val="00F83D99"/>
    <w:rsid w:val="00F841B0"/>
    <w:rsid w:val="00F84572"/>
    <w:rsid w:val="00F84BCA"/>
    <w:rsid w:val="00F84E42"/>
    <w:rsid w:val="00F8523A"/>
    <w:rsid w:val="00F8552C"/>
    <w:rsid w:val="00F85584"/>
    <w:rsid w:val="00F85B6C"/>
    <w:rsid w:val="00F85BE5"/>
    <w:rsid w:val="00F86C95"/>
    <w:rsid w:val="00F86CD8"/>
    <w:rsid w:val="00F90744"/>
    <w:rsid w:val="00F90B50"/>
    <w:rsid w:val="00F90D40"/>
    <w:rsid w:val="00F91BA3"/>
    <w:rsid w:val="00F91D31"/>
    <w:rsid w:val="00F923F7"/>
    <w:rsid w:val="00F92411"/>
    <w:rsid w:val="00F926C3"/>
    <w:rsid w:val="00F9281A"/>
    <w:rsid w:val="00F92D06"/>
    <w:rsid w:val="00F93391"/>
    <w:rsid w:val="00F9345D"/>
    <w:rsid w:val="00F93AB7"/>
    <w:rsid w:val="00F93B14"/>
    <w:rsid w:val="00F93B39"/>
    <w:rsid w:val="00F94758"/>
    <w:rsid w:val="00F94803"/>
    <w:rsid w:val="00F948D6"/>
    <w:rsid w:val="00F94E10"/>
    <w:rsid w:val="00F953B8"/>
    <w:rsid w:val="00F95DED"/>
    <w:rsid w:val="00F95EEF"/>
    <w:rsid w:val="00F9648B"/>
    <w:rsid w:val="00F97865"/>
    <w:rsid w:val="00FA031A"/>
    <w:rsid w:val="00FA0B2B"/>
    <w:rsid w:val="00FA1033"/>
    <w:rsid w:val="00FA12F2"/>
    <w:rsid w:val="00FA1A58"/>
    <w:rsid w:val="00FA1CF1"/>
    <w:rsid w:val="00FA2232"/>
    <w:rsid w:val="00FA2537"/>
    <w:rsid w:val="00FA2C28"/>
    <w:rsid w:val="00FA31F7"/>
    <w:rsid w:val="00FA3270"/>
    <w:rsid w:val="00FA3827"/>
    <w:rsid w:val="00FA4ACC"/>
    <w:rsid w:val="00FA4B0C"/>
    <w:rsid w:val="00FA4C5C"/>
    <w:rsid w:val="00FA4F76"/>
    <w:rsid w:val="00FA669D"/>
    <w:rsid w:val="00FA66C0"/>
    <w:rsid w:val="00FA6F22"/>
    <w:rsid w:val="00FA707C"/>
    <w:rsid w:val="00FA7202"/>
    <w:rsid w:val="00FB00D8"/>
    <w:rsid w:val="00FB0588"/>
    <w:rsid w:val="00FB0B5B"/>
    <w:rsid w:val="00FB11F3"/>
    <w:rsid w:val="00FB1552"/>
    <w:rsid w:val="00FB1621"/>
    <w:rsid w:val="00FB1ED2"/>
    <w:rsid w:val="00FB21C6"/>
    <w:rsid w:val="00FB29E8"/>
    <w:rsid w:val="00FB2B07"/>
    <w:rsid w:val="00FB3039"/>
    <w:rsid w:val="00FB4134"/>
    <w:rsid w:val="00FB43C1"/>
    <w:rsid w:val="00FB43CE"/>
    <w:rsid w:val="00FB4CCB"/>
    <w:rsid w:val="00FB4F58"/>
    <w:rsid w:val="00FB5471"/>
    <w:rsid w:val="00FB614C"/>
    <w:rsid w:val="00FB61B4"/>
    <w:rsid w:val="00FB6527"/>
    <w:rsid w:val="00FB6757"/>
    <w:rsid w:val="00FB6F31"/>
    <w:rsid w:val="00FB7263"/>
    <w:rsid w:val="00FB72FD"/>
    <w:rsid w:val="00FB7344"/>
    <w:rsid w:val="00FB7F2B"/>
    <w:rsid w:val="00FC0CCF"/>
    <w:rsid w:val="00FC0EB8"/>
    <w:rsid w:val="00FC106F"/>
    <w:rsid w:val="00FC1C07"/>
    <w:rsid w:val="00FC2EFA"/>
    <w:rsid w:val="00FC3056"/>
    <w:rsid w:val="00FC351A"/>
    <w:rsid w:val="00FC4324"/>
    <w:rsid w:val="00FC44DA"/>
    <w:rsid w:val="00FC5A8C"/>
    <w:rsid w:val="00FC5B5A"/>
    <w:rsid w:val="00FC5D9C"/>
    <w:rsid w:val="00FC60B9"/>
    <w:rsid w:val="00FC6203"/>
    <w:rsid w:val="00FC6643"/>
    <w:rsid w:val="00FC668F"/>
    <w:rsid w:val="00FC7163"/>
    <w:rsid w:val="00FD08D7"/>
    <w:rsid w:val="00FD132D"/>
    <w:rsid w:val="00FD1950"/>
    <w:rsid w:val="00FD1D0B"/>
    <w:rsid w:val="00FD1F6D"/>
    <w:rsid w:val="00FD324F"/>
    <w:rsid w:val="00FD3905"/>
    <w:rsid w:val="00FD3D4F"/>
    <w:rsid w:val="00FD3E2B"/>
    <w:rsid w:val="00FD4874"/>
    <w:rsid w:val="00FD48DC"/>
    <w:rsid w:val="00FD4A12"/>
    <w:rsid w:val="00FD4A79"/>
    <w:rsid w:val="00FD4B7B"/>
    <w:rsid w:val="00FD4C70"/>
    <w:rsid w:val="00FD5383"/>
    <w:rsid w:val="00FD53FE"/>
    <w:rsid w:val="00FD5D96"/>
    <w:rsid w:val="00FD5FF9"/>
    <w:rsid w:val="00FD60BE"/>
    <w:rsid w:val="00FD639D"/>
    <w:rsid w:val="00FD64B4"/>
    <w:rsid w:val="00FD68C7"/>
    <w:rsid w:val="00FD70B5"/>
    <w:rsid w:val="00FE03D1"/>
    <w:rsid w:val="00FE08EE"/>
    <w:rsid w:val="00FE0AF7"/>
    <w:rsid w:val="00FE1205"/>
    <w:rsid w:val="00FE122A"/>
    <w:rsid w:val="00FE1AF4"/>
    <w:rsid w:val="00FE2573"/>
    <w:rsid w:val="00FE27A8"/>
    <w:rsid w:val="00FE2AFF"/>
    <w:rsid w:val="00FE2C4F"/>
    <w:rsid w:val="00FE2E6A"/>
    <w:rsid w:val="00FE3057"/>
    <w:rsid w:val="00FE3208"/>
    <w:rsid w:val="00FE3A36"/>
    <w:rsid w:val="00FE3B06"/>
    <w:rsid w:val="00FE4CC3"/>
    <w:rsid w:val="00FE5DF3"/>
    <w:rsid w:val="00FF0863"/>
    <w:rsid w:val="00FF097E"/>
    <w:rsid w:val="00FF111B"/>
    <w:rsid w:val="00FF16BE"/>
    <w:rsid w:val="00FF1A75"/>
    <w:rsid w:val="00FF2E59"/>
    <w:rsid w:val="00FF3169"/>
    <w:rsid w:val="00FF3A33"/>
    <w:rsid w:val="00FF434F"/>
    <w:rsid w:val="00FF485A"/>
    <w:rsid w:val="00FF4880"/>
    <w:rsid w:val="00FF49F4"/>
    <w:rsid w:val="00FF4C26"/>
    <w:rsid w:val="00FF5FE6"/>
    <w:rsid w:val="00FF76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4657">
      <o:colormru v:ext="edit" colors="#0093d0,#f4f0e6,white"/>
    </o:shapedefaults>
    <o:shapelayout v:ext="edit">
      <o:idmap v:ext="edit" data="1"/>
    </o:shapelayout>
  </w:shapeDefaults>
  <w:decimalSymbol w:val="."/>
  <w:listSeparator w:val=","/>
  <w14:docId w14:val="55FA6CA4"/>
  <w15:docId w15:val="{2BF10C3D-88DE-4796-8FCB-18DF1FA4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9"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14"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3A3A72"/>
    <w:pPr>
      <w:spacing w:before="57" w:after="28" w:line="240" w:lineRule="atLeast"/>
    </w:pPr>
    <w:rPr>
      <w:sz w:val="20"/>
    </w:rPr>
  </w:style>
  <w:style w:type="paragraph" w:styleId="Heading1">
    <w:name w:val="heading 1"/>
    <w:basedOn w:val="Heading2"/>
    <w:next w:val="QCABodyText"/>
    <w:link w:val="Heading1Char"/>
    <w:uiPriority w:val="1"/>
    <w:qFormat/>
    <w:rsid w:val="00C14070"/>
    <w:pPr>
      <w:pBdr>
        <w:bottom w:val="single" w:sz="4" w:space="1" w:color="00B0F0"/>
      </w:pBdr>
      <w:spacing w:line="240" w:lineRule="auto"/>
      <w:outlineLvl w:val="0"/>
    </w:pPr>
    <w:rPr>
      <w:color w:val="auto"/>
      <w:sz w:val="52"/>
      <w:szCs w:val="56"/>
    </w:rPr>
  </w:style>
  <w:style w:type="paragraph" w:styleId="Heading2">
    <w:name w:val="heading 2"/>
    <w:aliases w:val="Heading 2 - no space above"/>
    <w:basedOn w:val="HEADING01-secondlineSPACED"/>
    <w:next w:val="QCABodyText"/>
    <w:link w:val="Heading2Char"/>
    <w:uiPriority w:val="1"/>
    <w:qFormat/>
    <w:rsid w:val="00C14070"/>
    <w:pPr>
      <w:keepNext/>
      <w:keepLines/>
      <w:pBdr>
        <w:bottom w:val="none" w:sz="0" w:space="0" w:color="auto"/>
      </w:pBdr>
      <w:spacing w:after="113" w:line="360" w:lineRule="exact"/>
      <w:jc w:val="left"/>
      <w:outlineLvl w:val="1"/>
    </w:pPr>
    <w:rPr>
      <w:rFonts w:ascii="Calibri Light" w:eastAsiaTheme="majorEastAsia" w:hAnsi="Calibri Light" w:cstheme="majorBidi"/>
      <w:caps w:val="0"/>
      <w:color w:val="767171" w:themeColor="background2" w:themeShade="80"/>
      <w:spacing w:val="0"/>
      <w:sz w:val="28"/>
      <w:szCs w:val="60"/>
    </w:rPr>
  </w:style>
  <w:style w:type="paragraph" w:styleId="Heading3">
    <w:name w:val="heading 3"/>
    <w:basedOn w:val="Normal"/>
    <w:next w:val="QCABodyText"/>
    <w:link w:val="Heading3Char"/>
    <w:uiPriority w:val="1"/>
    <w:qFormat/>
    <w:rsid w:val="00C14070"/>
    <w:pPr>
      <w:keepNext/>
      <w:keepLines/>
      <w:spacing w:before="170" w:line="305" w:lineRule="atLeast"/>
      <w:outlineLvl w:val="2"/>
    </w:pPr>
    <w:rPr>
      <w:rFonts w:asciiTheme="majorHAnsi" w:eastAsiaTheme="majorEastAsia" w:hAnsiTheme="majorHAnsi" w:cstheme="majorBidi"/>
      <w:color w:val="767171" w:themeColor="background2" w:themeShade="80"/>
      <w:sz w:val="24"/>
      <w:szCs w:val="28"/>
    </w:rPr>
  </w:style>
  <w:style w:type="paragraph" w:styleId="Heading4">
    <w:name w:val="heading 4"/>
    <w:basedOn w:val="Normal"/>
    <w:next w:val="QCABodyText"/>
    <w:link w:val="Heading4Char"/>
    <w:uiPriority w:val="1"/>
    <w:qFormat/>
    <w:rsid w:val="00C14070"/>
    <w:pPr>
      <w:keepNext/>
      <w:keepLines/>
      <w:pBdr>
        <w:bottom w:val="dotted" w:sz="4" w:space="1" w:color="58595B"/>
      </w:pBdr>
      <w:spacing w:before="170" w:line="288" w:lineRule="atLeast"/>
      <w:outlineLvl w:val="3"/>
    </w:pPr>
    <w:rPr>
      <w:rFonts w:asciiTheme="majorHAnsi" w:eastAsiaTheme="majorEastAsia" w:hAnsiTheme="majorHAnsi" w:cstheme="majorBidi"/>
      <w:iCs/>
      <w:color w:val="808080" w:themeColor="background1" w:themeShade="80"/>
      <w:sz w:val="22"/>
      <w:szCs w:val="24"/>
    </w:rPr>
  </w:style>
  <w:style w:type="paragraph" w:styleId="Heading5">
    <w:name w:val="heading 5"/>
    <w:basedOn w:val="Normal"/>
    <w:next w:val="QCABodyText"/>
    <w:link w:val="Heading5Char"/>
    <w:uiPriority w:val="1"/>
    <w:qFormat/>
    <w:rsid w:val="008A1A16"/>
    <w:pPr>
      <w:keepNext/>
      <w:keepLines/>
      <w:spacing w:before="130" w:after="0"/>
      <w:outlineLvl w:val="4"/>
    </w:pPr>
    <w:rPr>
      <w:rFonts w:asciiTheme="majorHAnsi" w:eastAsiaTheme="majorEastAsia" w:hAnsiTheme="majorHAnsi" w:cstheme="majorBidi"/>
      <w:color w:val="00A1E4"/>
    </w:rPr>
  </w:style>
  <w:style w:type="paragraph" w:styleId="Heading6">
    <w:name w:val="heading 6"/>
    <w:basedOn w:val="Heading5"/>
    <w:next w:val="BodyText"/>
    <w:link w:val="Heading6Char"/>
    <w:uiPriority w:val="1"/>
    <w:qFormat/>
    <w:rsid w:val="00133C9F"/>
    <w:pPr>
      <w:tabs>
        <w:tab w:val="right" w:pos="9106"/>
      </w:tabs>
      <w:spacing w:before="0" w:after="60" w:line="240" w:lineRule="auto"/>
      <w:outlineLvl w:val="5"/>
    </w:pPr>
    <w:rPr>
      <w:bCs/>
      <w:sz w:val="18"/>
    </w:rPr>
  </w:style>
  <w:style w:type="paragraph" w:styleId="Heading7">
    <w:name w:val="heading 7"/>
    <w:basedOn w:val="Heading6"/>
    <w:next w:val="Normal"/>
    <w:link w:val="Heading7Char"/>
    <w:uiPriority w:val="99"/>
    <w:semiHidden/>
    <w:rsid w:val="00133C9F"/>
    <w:pPr>
      <w:spacing w:before="200"/>
      <w:outlineLvl w:val="6"/>
    </w:pPr>
    <w:rPr>
      <w:iCs/>
    </w:rPr>
  </w:style>
  <w:style w:type="paragraph" w:styleId="Heading8">
    <w:name w:val="heading 8"/>
    <w:basedOn w:val="Normal"/>
    <w:next w:val="Normal"/>
    <w:link w:val="Heading8Char"/>
    <w:uiPriority w:val="99"/>
    <w:semiHidden/>
    <w:rsid w:val="00133C9F"/>
    <w:pPr>
      <w:keepNext/>
      <w:keepLines/>
      <w:spacing w:before="200" w:after="0" w:line="240" w:lineRule="auto"/>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rsid w:val="00133C9F"/>
    <w:pPr>
      <w:keepNext/>
      <w:keepLines/>
      <w:spacing w:before="200" w:after="0" w:line="240"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secondlineSPACED">
    <w:name w:val="HEADING 01 - second line SPACED"/>
    <w:autoRedefine/>
    <w:uiPriority w:val="9"/>
    <w:qFormat/>
    <w:rsid w:val="00E05D30"/>
    <w:pPr>
      <w:pBdr>
        <w:bottom w:val="single" w:sz="4" w:space="12" w:color="F2F2F2" w:themeColor="background1" w:themeShade="F2"/>
      </w:pBdr>
      <w:spacing w:after="0" w:line="520" w:lineRule="exact"/>
      <w:jc w:val="right"/>
    </w:pPr>
    <w:rPr>
      <w:caps/>
      <w:color w:val="F2F2F2" w:themeColor="background1" w:themeShade="F2"/>
      <w:spacing w:val="400"/>
      <w:sz w:val="52"/>
      <w:szCs w:val="48"/>
    </w:rPr>
  </w:style>
  <w:style w:type="paragraph" w:customStyle="1" w:styleId="QCABodyText">
    <w:name w:val="QCA Body Text"/>
    <w:basedOn w:val="Normal"/>
    <w:qFormat/>
    <w:rsid w:val="00212CAB"/>
    <w:rPr>
      <w:color w:val="3B3838" w:themeColor="background2" w:themeShade="40"/>
    </w:rPr>
  </w:style>
  <w:style w:type="character" w:customStyle="1" w:styleId="Heading2Char">
    <w:name w:val="Heading 2 Char"/>
    <w:aliases w:val="Heading 2 - no space above Char"/>
    <w:basedOn w:val="DefaultParagraphFont"/>
    <w:link w:val="Heading2"/>
    <w:uiPriority w:val="1"/>
    <w:rsid w:val="00C14070"/>
    <w:rPr>
      <w:rFonts w:ascii="Calibri Light" w:eastAsiaTheme="majorEastAsia" w:hAnsi="Calibri Light" w:cstheme="majorBidi"/>
      <w:color w:val="767171" w:themeColor="background2" w:themeShade="80"/>
      <w:sz w:val="28"/>
      <w:szCs w:val="60"/>
    </w:rPr>
  </w:style>
  <w:style w:type="character" w:customStyle="1" w:styleId="Heading1Char">
    <w:name w:val="Heading 1 Char"/>
    <w:basedOn w:val="DefaultParagraphFont"/>
    <w:link w:val="Heading1"/>
    <w:uiPriority w:val="1"/>
    <w:rsid w:val="00C14070"/>
    <w:rPr>
      <w:rFonts w:ascii="Calibri Light" w:eastAsiaTheme="majorEastAsia" w:hAnsi="Calibri Light" w:cstheme="majorBidi"/>
      <w:sz w:val="52"/>
      <w:szCs w:val="56"/>
    </w:rPr>
  </w:style>
  <w:style w:type="character" w:customStyle="1" w:styleId="Heading3Char">
    <w:name w:val="Heading 3 Char"/>
    <w:basedOn w:val="DefaultParagraphFont"/>
    <w:link w:val="Heading3"/>
    <w:uiPriority w:val="1"/>
    <w:rsid w:val="00C14070"/>
    <w:rPr>
      <w:rFonts w:asciiTheme="majorHAnsi" w:eastAsiaTheme="majorEastAsia" w:hAnsiTheme="majorHAnsi" w:cstheme="majorBidi"/>
      <w:color w:val="767171" w:themeColor="background2" w:themeShade="80"/>
      <w:sz w:val="24"/>
      <w:szCs w:val="28"/>
    </w:rPr>
  </w:style>
  <w:style w:type="character" w:customStyle="1" w:styleId="Heading4Char">
    <w:name w:val="Heading 4 Char"/>
    <w:basedOn w:val="DefaultParagraphFont"/>
    <w:link w:val="Heading4"/>
    <w:uiPriority w:val="1"/>
    <w:rsid w:val="00C14070"/>
    <w:rPr>
      <w:rFonts w:asciiTheme="majorHAnsi" w:eastAsiaTheme="majorEastAsia" w:hAnsiTheme="majorHAnsi" w:cstheme="majorBidi"/>
      <w:iCs/>
      <w:color w:val="808080" w:themeColor="background1" w:themeShade="80"/>
      <w:szCs w:val="24"/>
    </w:rPr>
  </w:style>
  <w:style w:type="character" w:customStyle="1" w:styleId="Heading5Char">
    <w:name w:val="Heading 5 Char"/>
    <w:basedOn w:val="DefaultParagraphFont"/>
    <w:link w:val="Heading5"/>
    <w:uiPriority w:val="1"/>
    <w:rsid w:val="008A1A16"/>
    <w:rPr>
      <w:rFonts w:asciiTheme="majorHAnsi" w:eastAsiaTheme="majorEastAsia" w:hAnsiTheme="majorHAnsi" w:cstheme="majorBidi"/>
      <w:color w:val="00A1E4"/>
      <w:sz w:val="20"/>
    </w:rPr>
  </w:style>
  <w:style w:type="character" w:styleId="IntenseEmphasis">
    <w:name w:val="Intense Emphasis"/>
    <w:basedOn w:val="DefaultParagraphFont"/>
    <w:uiPriority w:val="99"/>
    <w:semiHidden/>
    <w:qFormat/>
    <w:rsid w:val="00B95DA3"/>
    <w:rPr>
      <w:i/>
      <w:iCs/>
      <w:color w:val="00A1E4"/>
    </w:rPr>
  </w:style>
  <w:style w:type="paragraph" w:styleId="IntenseQuote">
    <w:name w:val="Intense Quote"/>
    <w:basedOn w:val="Normal"/>
    <w:next w:val="Normal"/>
    <w:link w:val="IntenseQuoteChar"/>
    <w:uiPriority w:val="99"/>
    <w:semiHidden/>
    <w:qFormat/>
    <w:rsid w:val="00FB1621"/>
    <w:pPr>
      <w:pBdr>
        <w:top w:val="single" w:sz="4" w:space="10" w:color="4F4C4D"/>
        <w:bottom w:val="single" w:sz="4" w:space="10" w:color="4F4C4D"/>
      </w:pBdr>
      <w:spacing w:before="360" w:after="360"/>
      <w:jc w:val="center"/>
    </w:pPr>
    <w:rPr>
      <w:rFonts w:ascii="Calvert MT Light" w:hAnsi="Calvert MT Light"/>
      <w:i/>
      <w:iCs/>
      <w:color w:val="4F4C4D"/>
      <w:sz w:val="18"/>
    </w:rPr>
  </w:style>
  <w:style w:type="character" w:customStyle="1" w:styleId="IntenseQuoteChar">
    <w:name w:val="Intense Quote Char"/>
    <w:basedOn w:val="DefaultParagraphFont"/>
    <w:link w:val="IntenseQuote"/>
    <w:uiPriority w:val="99"/>
    <w:semiHidden/>
    <w:rsid w:val="002833D5"/>
    <w:rPr>
      <w:rFonts w:ascii="Calvert MT Light" w:hAnsi="Calvert MT Light"/>
      <w:i/>
      <w:iCs/>
      <w:color w:val="4F4C4D"/>
      <w:sz w:val="18"/>
    </w:rPr>
  </w:style>
  <w:style w:type="character" w:styleId="IntenseReference">
    <w:name w:val="Intense Reference"/>
    <w:basedOn w:val="DefaultParagraphFont"/>
    <w:uiPriority w:val="99"/>
    <w:semiHidden/>
    <w:qFormat/>
    <w:rsid w:val="00B95DA3"/>
    <w:rPr>
      <w:b/>
      <w:bCs/>
      <w:smallCaps/>
      <w:color w:val="00A1E4"/>
      <w:spacing w:val="5"/>
    </w:rPr>
  </w:style>
  <w:style w:type="paragraph" w:styleId="Header">
    <w:name w:val="header"/>
    <w:basedOn w:val="Normal"/>
    <w:link w:val="HeaderChar"/>
    <w:uiPriority w:val="99"/>
    <w:unhideWhenUsed/>
    <w:qFormat/>
    <w:locked/>
    <w:rsid w:val="002614F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14F4"/>
    <w:rPr>
      <w:sz w:val="20"/>
    </w:rPr>
  </w:style>
  <w:style w:type="paragraph" w:styleId="Footer">
    <w:name w:val="footer"/>
    <w:aliases w:val="QCA Footer Odd"/>
    <w:basedOn w:val="Normal"/>
    <w:link w:val="FooterChar"/>
    <w:uiPriority w:val="99"/>
    <w:qFormat/>
    <w:rsid w:val="008A1A16"/>
    <w:pPr>
      <w:spacing w:before="0" w:after="0" w:line="240" w:lineRule="auto"/>
    </w:pPr>
    <w:rPr>
      <w:rFonts w:ascii="Calibri Light" w:hAnsi="Calibri Light"/>
      <w:caps/>
      <w:color w:val="4F4C4D"/>
    </w:rPr>
  </w:style>
  <w:style w:type="character" w:customStyle="1" w:styleId="FooterChar">
    <w:name w:val="Footer Char"/>
    <w:aliases w:val="QCA Footer Odd Char"/>
    <w:basedOn w:val="DefaultParagraphFont"/>
    <w:link w:val="Footer"/>
    <w:uiPriority w:val="99"/>
    <w:rsid w:val="008A1A16"/>
    <w:rPr>
      <w:rFonts w:ascii="Calibri Light" w:hAnsi="Calibri Light"/>
      <w:caps/>
      <w:color w:val="4F4C4D"/>
      <w:sz w:val="20"/>
    </w:rPr>
  </w:style>
  <w:style w:type="table" w:styleId="TableGrid">
    <w:name w:val="Table Grid"/>
    <w:aliases w:val="QCA Table"/>
    <w:basedOn w:val="TableNormal"/>
    <w:rsid w:val="00261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ATableGap">
    <w:name w:val="QCA Table Gap"/>
    <w:uiPriority w:val="4"/>
    <w:qFormat/>
    <w:rsid w:val="002614F4"/>
    <w:pPr>
      <w:spacing w:after="0" w:line="240" w:lineRule="auto"/>
    </w:pPr>
    <w:rPr>
      <w:sz w:val="10"/>
    </w:rPr>
  </w:style>
  <w:style w:type="paragraph" w:customStyle="1" w:styleId="QCAFooterEven">
    <w:name w:val="QCA Footer Even"/>
    <w:basedOn w:val="Footer"/>
    <w:uiPriority w:val="8"/>
    <w:qFormat/>
    <w:rsid w:val="002614F4"/>
    <w:pPr>
      <w:jc w:val="right"/>
    </w:pPr>
  </w:style>
  <w:style w:type="paragraph" w:customStyle="1" w:styleId="QCAQuote">
    <w:name w:val="QCA Quote"/>
    <w:basedOn w:val="IntenseQuote"/>
    <w:qFormat/>
    <w:rsid w:val="006D09CD"/>
    <w:pPr>
      <w:spacing w:before="142" w:after="170"/>
    </w:pPr>
    <w:rPr>
      <w:rFonts w:asciiTheme="minorHAnsi" w:hAnsiTheme="minorHAnsi"/>
      <w:i w:val="0"/>
    </w:rPr>
  </w:style>
  <w:style w:type="paragraph" w:customStyle="1" w:styleId="QCABullet">
    <w:name w:val="QCA Bullet"/>
    <w:basedOn w:val="QCABodyText"/>
    <w:qFormat/>
    <w:rsid w:val="00D15A6F"/>
    <w:pPr>
      <w:numPr>
        <w:numId w:val="1"/>
      </w:numPr>
      <w:spacing w:before="0"/>
    </w:pPr>
  </w:style>
  <w:style w:type="paragraph" w:customStyle="1" w:styleId="QCAContents">
    <w:name w:val="QCA Contents"/>
    <w:uiPriority w:val="5"/>
    <w:qFormat/>
    <w:rsid w:val="00857CF5"/>
    <w:pPr>
      <w:spacing w:after="113" w:line="520" w:lineRule="atLeast"/>
    </w:pPr>
    <w:rPr>
      <w:rFonts w:asciiTheme="majorHAnsi" w:hAnsiTheme="majorHAnsi"/>
      <w:caps/>
      <w:color w:val="00A1E4"/>
      <w:sz w:val="60"/>
      <w:szCs w:val="60"/>
    </w:rPr>
  </w:style>
  <w:style w:type="character" w:customStyle="1" w:styleId="QCAQualificationsBlue">
    <w:name w:val="QCA Qualifications Blue"/>
    <w:basedOn w:val="DefaultParagraphFont"/>
    <w:uiPriority w:val="5"/>
    <w:qFormat/>
    <w:rsid w:val="0073133D"/>
    <w:rPr>
      <w:color w:val="00A1E4"/>
      <w:sz w:val="17"/>
    </w:rPr>
  </w:style>
  <w:style w:type="character" w:styleId="CommentReference">
    <w:name w:val="annotation reference"/>
    <w:basedOn w:val="DefaultParagraphFont"/>
    <w:uiPriority w:val="99"/>
    <w:semiHidden/>
    <w:unhideWhenUsed/>
    <w:rsid w:val="00857CF5"/>
    <w:rPr>
      <w:sz w:val="16"/>
      <w:szCs w:val="16"/>
    </w:rPr>
  </w:style>
  <w:style w:type="paragraph" w:styleId="CommentText">
    <w:name w:val="annotation text"/>
    <w:basedOn w:val="Normal"/>
    <w:link w:val="CommentTextChar"/>
    <w:uiPriority w:val="99"/>
    <w:unhideWhenUsed/>
    <w:rsid w:val="00857CF5"/>
    <w:pPr>
      <w:spacing w:line="240" w:lineRule="auto"/>
    </w:pPr>
    <w:rPr>
      <w:szCs w:val="20"/>
    </w:rPr>
  </w:style>
  <w:style w:type="character" w:customStyle="1" w:styleId="CommentTextChar">
    <w:name w:val="Comment Text Char"/>
    <w:basedOn w:val="DefaultParagraphFont"/>
    <w:link w:val="CommentText"/>
    <w:uiPriority w:val="99"/>
    <w:rsid w:val="00857CF5"/>
    <w:rPr>
      <w:sz w:val="20"/>
      <w:szCs w:val="20"/>
    </w:rPr>
  </w:style>
  <w:style w:type="paragraph" w:styleId="CommentSubject">
    <w:name w:val="annotation subject"/>
    <w:basedOn w:val="CommentText"/>
    <w:next w:val="CommentText"/>
    <w:link w:val="CommentSubjectChar"/>
    <w:uiPriority w:val="99"/>
    <w:semiHidden/>
    <w:unhideWhenUsed/>
    <w:rsid w:val="00857CF5"/>
    <w:rPr>
      <w:b/>
      <w:bCs/>
    </w:rPr>
  </w:style>
  <w:style w:type="character" w:customStyle="1" w:styleId="CommentSubjectChar">
    <w:name w:val="Comment Subject Char"/>
    <w:basedOn w:val="CommentTextChar"/>
    <w:link w:val="CommentSubject"/>
    <w:uiPriority w:val="99"/>
    <w:semiHidden/>
    <w:rsid w:val="00857CF5"/>
    <w:rPr>
      <w:b/>
      <w:bCs/>
      <w:sz w:val="20"/>
      <w:szCs w:val="20"/>
    </w:rPr>
  </w:style>
  <w:style w:type="paragraph" w:styleId="BalloonText">
    <w:name w:val="Balloon Text"/>
    <w:basedOn w:val="Normal"/>
    <w:link w:val="BalloonTextChar"/>
    <w:uiPriority w:val="99"/>
    <w:semiHidden/>
    <w:unhideWhenUsed/>
    <w:rsid w:val="00857CF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F5"/>
    <w:rPr>
      <w:rFonts w:ascii="Segoe UI" w:hAnsi="Segoe UI" w:cs="Segoe UI"/>
      <w:sz w:val="18"/>
      <w:szCs w:val="18"/>
    </w:rPr>
  </w:style>
  <w:style w:type="paragraph" w:styleId="Revision">
    <w:name w:val="Revision"/>
    <w:hidden/>
    <w:uiPriority w:val="99"/>
    <w:semiHidden/>
    <w:rsid w:val="00AA153C"/>
    <w:pPr>
      <w:spacing w:after="0" w:line="240" w:lineRule="auto"/>
    </w:pPr>
    <w:rPr>
      <w:sz w:val="20"/>
    </w:rPr>
  </w:style>
  <w:style w:type="table" w:customStyle="1" w:styleId="GridTable4-Accent31">
    <w:name w:val="Grid Table 4 - Accent 31"/>
    <w:basedOn w:val="TableNormal"/>
    <w:uiPriority w:val="49"/>
    <w:locked/>
    <w:rsid w:val="00856A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QCATableDesign">
    <w:name w:val="QCA Table Design"/>
    <w:basedOn w:val="ListTable4-Accent31"/>
    <w:uiPriority w:val="99"/>
    <w:rsid w:val="00F57464"/>
    <w:rPr>
      <w:sz w:val="18"/>
      <w:szCs w:val="20"/>
      <w:lang w:eastAsia="en-AU"/>
    </w:rPr>
    <w:tblPr>
      <w:tblBorders>
        <w:top w:val="single" w:sz="4" w:space="0" w:color="4F4C4D"/>
        <w:left w:val="single" w:sz="4" w:space="0" w:color="4F4C4D"/>
        <w:bottom w:val="single" w:sz="4" w:space="0" w:color="4F4C4D"/>
        <w:right w:val="single" w:sz="4" w:space="0" w:color="4F4C4D"/>
        <w:insideH w:val="single" w:sz="4" w:space="0" w:color="4F4C4D"/>
        <w:insideV w:val="single" w:sz="4" w:space="0" w:color="4F4C4D"/>
      </w:tblBorders>
      <w:tblCellMar>
        <w:bottom w:w="57" w:type="dxa"/>
      </w:tblCellMar>
    </w:tblPr>
    <w:tblStylePr w:type="firstRow">
      <w:rPr>
        <w:b w:val="0"/>
        <w:bCs/>
        <w:color w:val="auto"/>
      </w:rPr>
      <w:tblPr/>
      <w:tcPr>
        <w:tcBorders>
          <w:top w:val="single" w:sz="4" w:space="0" w:color="4F4C4D"/>
          <w:left w:val="single" w:sz="4" w:space="0" w:color="4F4C4D"/>
          <w:bottom w:val="single" w:sz="4" w:space="0" w:color="4F4C4D"/>
          <w:right w:val="single" w:sz="4" w:space="0" w:color="4F4C4D"/>
          <w:insideH w:val="single" w:sz="4" w:space="0" w:color="4F4C4D"/>
          <w:insideV w:val="single" w:sz="4" w:space="0" w:color="4F4C4D"/>
        </w:tcBorders>
        <w:shd w:val="clear" w:color="auto" w:fill="D3D2D2"/>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TableNormal"/>
    <w:uiPriority w:val="49"/>
    <w:locked/>
    <w:rsid w:val="00856A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QCATableText">
    <w:name w:val="QCA Table Text"/>
    <w:basedOn w:val="QCABodyText"/>
    <w:uiPriority w:val="3"/>
    <w:qFormat/>
    <w:rsid w:val="003C306B"/>
    <w:pPr>
      <w:spacing w:after="0" w:line="200" w:lineRule="atLeast"/>
    </w:pPr>
    <w:rPr>
      <w:sz w:val="18"/>
    </w:rPr>
  </w:style>
  <w:style w:type="paragraph" w:customStyle="1" w:styleId="QCATableHeading">
    <w:name w:val="QCA Table Heading"/>
    <w:basedOn w:val="QCATableText"/>
    <w:uiPriority w:val="3"/>
    <w:qFormat/>
    <w:rsid w:val="00203210"/>
    <w:pPr>
      <w:spacing w:after="28"/>
    </w:pPr>
    <w:rPr>
      <w:b/>
      <w:bCs/>
      <w:spacing w:val="10"/>
      <w:sz w:val="20"/>
    </w:rPr>
  </w:style>
  <w:style w:type="character" w:customStyle="1" w:styleId="BOLD">
    <w:name w:val="BOLD"/>
    <w:uiPriority w:val="99"/>
    <w:semiHidden/>
    <w:rsid w:val="007B08FC"/>
    <w:rPr>
      <w:b/>
      <w:bCs/>
    </w:rPr>
  </w:style>
  <w:style w:type="paragraph" w:styleId="TOC2">
    <w:name w:val="toc 2"/>
    <w:basedOn w:val="Normal"/>
    <w:next w:val="Normal"/>
    <w:autoRedefine/>
    <w:uiPriority w:val="39"/>
    <w:rsid w:val="007225F9"/>
    <w:pPr>
      <w:tabs>
        <w:tab w:val="right" w:pos="7088"/>
        <w:tab w:val="right" w:pos="9214"/>
      </w:tabs>
      <w:spacing w:before="120" w:after="0"/>
      <w:ind w:right="14"/>
    </w:pPr>
    <w:rPr>
      <w:noProof/>
    </w:rPr>
  </w:style>
  <w:style w:type="paragraph" w:styleId="TOC1">
    <w:name w:val="toc 1"/>
    <w:basedOn w:val="Normal"/>
    <w:next w:val="Normal"/>
    <w:autoRedefine/>
    <w:uiPriority w:val="39"/>
    <w:rsid w:val="00D32A8B"/>
    <w:pPr>
      <w:tabs>
        <w:tab w:val="right" w:pos="4253"/>
        <w:tab w:val="right" w:pos="6623"/>
      </w:tabs>
      <w:spacing w:before="120" w:after="0"/>
    </w:pPr>
    <w:rPr>
      <w:b/>
      <w:caps/>
      <w:noProof/>
      <w:szCs w:val="20"/>
    </w:rPr>
  </w:style>
  <w:style w:type="character" w:styleId="Hyperlink">
    <w:name w:val="Hyperlink"/>
    <w:basedOn w:val="DefaultParagraphFont"/>
    <w:uiPriority w:val="99"/>
    <w:unhideWhenUsed/>
    <w:locked/>
    <w:rsid w:val="007D52BD"/>
    <w:rPr>
      <w:color w:val="auto"/>
      <w:u w:val="single"/>
    </w:rPr>
  </w:style>
  <w:style w:type="paragraph" w:styleId="Caption">
    <w:name w:val="caption"/>
    <w:aliases w:val="QCA Caption"/>
    <w:basedOn w:val="Normal"/>
    <w:next w:val="Normal"/>
    <w:uiPriority w:val="99"/>
    <w:qFormat/>
    <w:rsid w:val="00FB1552"/>
    <w:pPr>
      <w:spacing w:before="0" w:after="0" w:line="192" w:lineRule="atLeast"/>
      <w:jc w:val="right"/>
    </w:pPr>
    <w:rPr>
      <w:iCs/>
      <w:caps/>
      <w:color w:val="00A1E4"/>
      <w:sz w:val="16"/>
      <w:szCs w:val="18"/>
    </w:rPr>
  </w:style>
  <w:style w:type="character" w:customStyle="1" w:styleId="QCABlue">
    <w:name w:val="QCA Blue"/>
    <w:basedOn w:val="DefaultParagraphFont"/>
    <w:qFormat/>
    <w:rsid w:val="00495EC2"/>
    <w:rPr>
      <w:color w:val="00A1E4"/>
    </w:rPr>
  </w:style>
  <w:style w:type="paragraph" w:customStyle="1" w:styleId="QCATableHeading2">
    <w:name w:val="QCA Table Heading 2"/>
    <w:basedOn w:val="QCATableHeading"/>
    <w:uiPriority w:val="3"/>
    <w:qFormat/>
    <w:rsid w:val="009B4291"/>
    <w:pPr>
      <w:spacing w:after="0"/>
    </w:pPr>
    <w:rPr>
      <w:rFonts w:asciiTheme="majorHAnsi" w:hAnsiTheme="majorHAnsi"/>
      <w:b w:val="0"/>
      <w:bCs w:val="0"/>
      <w:szCs w:val="20"/>
      <w:lang w:eastAsia="en-AU"/>
    </w:rPr>
  </w:style>
  <w:style w:type="character" w:customStyle="1" w:styleId="QCAQualificationsBlack">
    <w:name w:val="QCA Qualifications Black"/>
    <w:basedOn w:val="QCAQualificationsBlue"/>
    <w:uiPriority w:val="5"/>
    <w:qFormat/>
    <w:rsid w:val="0073133D"/>
    <w:rPr>
      <w:color w:val="auto"/>
      <w:sz w:val="17"/>
    </w:rPr>
  </w:style>
  <w:style w:type="character" w:styleId="PageNumber">
    <w:name w:val="page number"/>
    <w:basedOn w:val="DefaultParagraphFont"/>
    <w:uiPriority w:val="99"/>
    <w:qFormat/>
    <w:rsid w:val="003A2362"/>
  </w:style>
  <w:style w:type="character" w:customStyle="1" w:styleId="QCAItalics">
    <w:name w:val="QCA Italics"/>
    <w:qFormat/>
    <w:rsid w:val="00843DD8"/>
    <w:rPr>
      <w:i/>
    </w:rPr>
  </w:style>
  <w:style w:type="character" w:customStyle="1" w:styleId="QCABold">
    <w:name w:val="QCA Bold"/>
    <w:basedOn w:val="QCAItalics"/>
    <w:qFormat/>
    <w:rsid w:val="00843DD8"/>
    <w:rPr>
      <w:b/>
      <w:i w:val="0"/>
    </w:rPr>
  </w:style>
  <w:style w:type="paragraph" w:styleId="ListParagraph0">
    <w:name w:val="List Paragraph"/>
    <w:basedOn w:val="Normal"/>
    <w:uiPriority w:val="3"/>
    <w:qFormat/>
    <w:rsid w:val="008D4EDC"/>
    <w:pPr>
      <w:ind w:left="720"/>
      <w:contextualSpacing/>
    </w:pPr>
  </w:style>
  <w:style w:type="paragraph" w:styleId="BodyTextIndent">
    <w:name w:val="Body Text Indent"/>
    <w:basedOn w:val="Normal"/>
    <w:link w:val="BodyTextIndentChar"/>
    <w:unhideWhenUsed/>
    <w:qFormat/>
    <w:rsid w:val="008D4EDC"/>
    <w:pPr>
      <w:spacing w:after="120"/>
      <w:ind w:left="283"/>
    </w:pPr>
  </w:style>
  <w:style w:type="character" w:customStyle="1" w:styleId="BodyTextIndentChar">
    <w:name w:val="Body Text Indent Char"/>
    <w:basedOn w:val="DefaultParagraphFont"/>
    <w:link w:val="BodyTextIndent"/>
    <w:rsid w:val="008D4EDC"/>
    <w:rPr>
      <w:sz w:val="20"/>
    </w:rPr>
  </w:style>
  <w:style w:type="paragraph" w:customStyle="1" w:styleId="Heading5indent">
    <w:name w:val="Heading 5 indent"/>
    <w:basedOn w:val="Heading5"/>
    <w:uiPriority w:val="9"/>
    <w:qFormat/>
    <w:rsid w:val="003A14F8"/>
    <w:pPr>
      <w:tabs>
        <w:tab w:val="left" w:pos="284"/>
      </w:tabs>
    </w:pPr>
    <w:rPr>
      <w:color w:val="767171" w:themeColor="background2" w:themeShade="80"/>
    </w:rPr>
  </w:style>
  <w:style w:type="paragraph" w:customStyle="1" w:styleId="QCATableHeading3Fin">
    <w:name w:val="QCA Table Heading 3 (Fin)"/>
    <w:basedOn w:val="QCATableHeading2"/>
    <w:uiPriority w:val="9"/>
    <w:qFormat/>
    <w:rsid w:val="00203210"/>
    <w:rPr>
      <w:sz w:val="16"/>
      <w:szCs w:val="16"/>
    </w:rPr>
  </w:style>
  <w:style w:type="paragraph" w:styleId="BodyText">
    <w:name w:val="Body Text"/>
    <w:basedOn w:val="Normal"/>
    <w:link w:val="BodyTextChar"/>
    <w:unhideWhenUsed/>
    <w:qFormat/>
    <w:rsid w:val="00040217"/>
    <w:pPr>
      <w:spacing w:after="120"/>
    </w:pPr>
  </w:style>
  <w:style w:type="character" w:customStyle="1" w:styleId="BodyTextChar">
    <w:name w:val="Body Text Char"/>
    <w:basedOn w:val="DefaultParagraphFont"/>
    <w:link w:val="BodyText"/>
    <w:rsid w:val="00040217"/>
    <w:rPr>
      <w:sz w:val="20"/>
    </w:rPr>
  </w:style>
  <w:style w:type="paragraph" w:customStyle="1" w:styleId="Disclaimer">
    <w:name w:val="Disclaimer"/>
    <w:basedOn w:val="Normal"/>
    <w:uiPriority w:val="99"/>
    <w:qFormat/>
    <w:rsid w:val="00D81BB3"/>
    <w:pPr>
      <w:autoSpaceDE w:val="0"/>
      <w:autoSpaceDN w:val="0"/>
      <w:adjustRightInd w:val="0"/>
      <w:spacing w:before="0" w:after="180" w:line="240" w:lineRule="auto"/>
    </w:pPr>
    <w:rPr>
      <w:rFonts w:eastAsia="Times New Roman" w:cs="Arial"/>
      <w:sz w:val="18"/>
      <w:szCs w:val="18"/>
      <w:lang w:eastAsia="en-AU"/>
    </w:rPr>
  </w:style>
  <w:style w:type="character" w:styleId="SubtleEmphasis">
    <w:name w:val="Subtle Emphasis"/>
    <w:basedOn w:val="DefaultParagraphFont"/>
    <w:uiPriority w:val="19"/>
    <w:qFormat/>
    <w:rsid w:val="00CA76A5"/>
    <w:rPr>
      <w:i/>
      <w:iCs/>
      <w:color w:val="808080" w:themeColor="text1" w:themeTint="7F"/>
      <w:sz w:val="16"/>
    </w:rPr>
  </w:style>
  <w:style w:type="paragraph" w:customStyle="1" w:styleId="Text">
    <w:name w:val="Text"/>
    <w:basedOn w:val="Normal"/>
    <w:rsid w:val="00B61E5D"/>
    <w:pPr>
      <w:spacing w:before="120" w:after="120" w:line="240" w:lineRule="auto"/>
    </w:pPr>
    <w:rPr>
      <w:rFonts w:ascii="Arial" w:eastAsia="Times New Roman" w:hAnsi="Arial" w:cs="Times New Roman"/>
      <w:szCs w:val="24"/>
      <w:lang w:eastAsia="en-AU"/>
    </w:rPr>
  </w:style>
  <w:style w:type="paragraph" w:customStyle="1" w:styleId="NONCAPS-LEFT">
    <w:name w:val="NON CAPS - LEFT"/>
    <w:basedOn w:val="Footer"/>
    <w:uiPriority w:val="9"/>
    <w:qFormat/>
    <w:rsid w:val="001F4BC8"/>
    <w:rPr>
      <w:caps w:val="0"/>
    </w:rPr>
  </w:style>
  <w:style w:type="paragraph" w:customStyle="1" w:styleId="NONCAPS-RIGHT">
    <w:name w:val="NON CAPS - RIGHT"/>
    <w:basedOn w:val="QCAFooterEven"/>
    <w:uiPriority w:val="9"/>
    <w:qFormat/>
    <w:rsid w:val="00DD7F28"/>
    <w:rPr>
      <w:caps w:val="0"/>
      <w:noProof/>
      <w:color w:val="B69A51"/>
    </w:rPr>
  </w:style>
  <w:style w:type="paragraph" w:customStyle="1" w:styleId="HEADING01--firstlineBOLD">
    <w:name w:val="HEADING 01 -- first line BOLD"/>
    <w:uiPriority w:val="9"/>
    <w:qFormat/>
    <w:rsid w:val="00E05D30"/>
    <w:pPr>
      <w:pBdr>
        <w:top w:val="single" w:sz="4" w:space="11" w:color="F2F2F2" w:themeColor="background1" w:themeShade="F2"/>
      </w:pBdr>
      <w:tabs>
        <w:tab w:val="right" w:pos="8789"/>
      </w:tabs>
      <w:spacing w:after="0" w:line="520" w:lineRule="exact"/>
      <w:jc w:val="center"/>
    </w:pPr>
    <w:rPr>
      <w:rFonts w:ascii="Calibri" w:eastAsiaTheme="majorEastAsia" w:hAnsi="Calibri" w:cstheme="majorBidi"/>
      <w:b/>
      <w:caps/>
      <w:color w:val="F2F2F2" w:themeColor="background1" w:themeShade="F2"/>
      <w:sz w:val="52"/>
      <w:szCs w:val="104"/>
    </w:rPr>
  </w:style>
  <w:style w:type="paragraph" w:customStyle="1" w:styleId="HEADING03a">
    <w:name w:val="HEADING 03 a"/>
    <w:basedOn w:val="QCABodyText"/>
    <w:uiPriority w:val="9"/>
    <w:qFormat/>
    <w:rsid w:val="00212CAB"/>
    <w:pPr>
      <w:spacing w:before="0" w:after="0" w:line="240" w:lineRule="auto"/>
    </w:pPr>
    <w:rPr>
      <w:b/>
      <w:caps/>
      <w:color w:val="404040" w:themeColor="text1" w:themeTint="BF"/>
      <w:sz w:val="18"/>
    </w:rPr>
  </w:style>
  <w:style w:type="paragraph" w:customStyle="1" w:styleId="HEADING3b">
    <w:name w:val="HEADING 3b"/>
    <w:basedOn w:val="QCABodyText"/>
    <w:uiPriority w:val="9"/>
    <w:qFormat/>
    <w:rsid w:val="003419FA"/>
    <w:pPr>
      <w:spacing w:before="0" w:after="0" w:line="240" w:lineRule="auto"/>
    </w:pPr>
    <w:rPr>
      <w:color w:val="404040" w:themeColor="text1" w:themeTint="BF"/>
      <w:sz w:val="22"/>
    </w:rPr>
  </w:style>
  <w:style w:type="paragraph" w:customStyle="1" w:styleId="QUOTES-WHITETEXT">
    <w:name w:val="QUOTES - WHITE TEXT"/>
    <w:basedOn w:val="HEADING01--firstlineBOLD"/>
    <w:uiPriority w:val="9"/>
    <w:qFormat/>
    <w:rsid w:val="00F653F7"/>
    <w:pPr>
      <w:pBdr>
        <w:bottom w:val="single" w:sz="4" w:space="11" w:color="F2F2F2" w:themeColor="background1" w:themeShade="F2"/>
      </w:pBdr>
      <w:spacing w:line="560" w:lineRule="exact"/>
      <w:ind w:left="284"/>
      <w:jc w:val="left"/>
    </w:pPr>
    <w:rPr>
      <w:rFonts w:ascii="Calibri Light" w:hAnsi="Calibri Light"/>
      <w:b w:val="0"/>
      <w:sz w:val="56"/>
    </w:rPr>
  </w:style>
  <w:style w:type="character" w:styleId="FootnoteReference">
    <w:name w:val="footnote reference"/>
    <w:basedOn w:val="DefaultParagraphFont"/>
    <w:uiPriority w:val="99"/>
    <w:semiHidden/>
    <w:rsid w:val="005A5056"/>
    <w:rPr>
      <w:vertAlign w:val="superscript"/>
    </w:rPr>
  </w:style>
  <w:style w:type="paragraph" w:styleId="FootnoteText">
    <w:name w:val="footnote text"/>
    <w:basedOn w:val="Normal"/>
    <w:link w:val="FootnoteTextChar"/>
    <w:uiPriority w:val="99"/>
    <w:semiHidden/>
    <w:rsid w:val="005A5056"/>
    <w:pPr>
      <w:spacing w:before="0" w:after="0" w:line="240" w:lineRule="auto"/>
      <w:ind w:left="170" w:hanging="170"/>
    </w:pPr>
    <w:rPr>
      <w:rFonts w:ascii="Calibri" w:eastAsia="Times New Roman" w:hAnsi="Calibri"/>
      <w:szCs w:val="20"/>
    </w:rPr>
  </w:style>
  <w:style w:type="character" w:customStyle="1" w:styleId="FootnoteTextChar">
    <w:name w:val="Footnote Text Char"/>
    <w:basedOn w:val="DefaultParagraphFont"/>
    <w:link w:val="FootnoteText"/>
    <w:uiPriority w:val="99"/>
    <w:semiHidden/>
    <w:rsid w:val="005A5056"/>
    <w:rPr>
      <w:rFonts w:ascii="Calibri" w:eastAsia="Times New Roman" w:hAnsi="Calibri"/>
      <w:sz w:val="20"/>
      <w:szCs w:val="20"/>
    </w:rPr>
  </w:style>
  <w:style w:type="paragraph" w:styleId="ListBullet">
    <w:name w:val="List Bullet"/>
    <w:basedOn w:val="Normal"/>
    <w:uiPriority w:val="1"/>
    <w:qFormat/>
    <w:rsid w:val="005D35AB"/>
    <w:pPr>
      <w:numPr>
        <w:numId w:val="2"/>
      </w:numPr>
      <w:spacing w:before="0" w:line="264" w:lineRule="auto"/>
      <w:ind w:left="284" w:hanging="284"/>
    </w:pPr>
    <w:rPr>
      <w:rFonts w:ascii="Calibri" w:eastAsia="Times New Roman" w:hAnsi="Calibri" w:cs="Times New Roman"/>
      <w:sz w:val="21"/>
      <w:szCs w:val="20"/>
    </w:rPr>
  </w:style>
  <w:style w:type="paragraph" w:customStyle="1" w:styleId="CASESTUDY-heading02">
    <w:name w:val="CASE STUDY - heading 02"/>
    <w:basedOn w:val="QCATableHeading"/>
    <w:uiPriority w:val="9"/>
    <w:qFormat/>
    <w:rsid w:val="004D609D"/>
    <w:rPr>
      <w:b w:val="0"/>
      <w:caps/>
      <w:color w:val="B89B54"/>
      <w:spacing w:val="20"/>
    </w:rPr>
  </w:style>
  <w:style w:type="paragraph" w:customStyle="1" w:styleId="Heading3-brown">
    <w:name w:val="Heading 3 - brown"/>
    <w:basedOn w:val="Heading3"/>
    <w:uiPriority w:val="9"/>
    <w:qFormat/>
    <w:rsid w:val="00C14070"/>
    <w:pPr>
      <w:spacing w:after="0" w:line="180" w:lineRule="atLeast"/>
    </w:pPr>
    <w:rPr>
      <w:rFonts w:asciiTheme="minorHAnsi" w:hAnsiTheme="minorHAnsi"/>
      <w:caps/>
      <w:color w:val="auto"/>
      <w:spacing w:val="-2"/>
      <w:sz w:val="18"/>
      <w:szCs w:val="18"/>
    </w:rPr>
  </w:style>
  <w:style w:type="paragraph" w:customStyle="1" w:styleId="Heading3-capsandtight">
    <w:name w:val="Heading 3 - caps and tight"/>
    <w:basedOn w:val="Heading3"/>
    <w:uiPriority w:val="9"/>
    <w:qFormat/>
    <w:rsid w:val="00F059D3"/>
    <w:pPr>
      <w:spacing w:before="0" w:line="240" w:lineRule="exact"/>
    </w:pPr>
    <w:rPr>
      <w:caps/>
      <w:spacing w:val="30"/>
    </w:rPr>
  </w:style>
  <w:style w:type="character" w:customStyle="1" w:styleId="QCAQualificationsbrown">
    <w:name w:val="QCA Qualifications brown"/>
    <w:basedOn w:val="QCAQualificationsBlack"/>
    <w:uiPriority w:val="1"/>
    <w:qFormat/>
    <w:rsid w:val="0073133D"/>
    <w:rPr>
      <w:color w:val="B69A51"/>
      <w:sz w:val="17"/>
    </w:rPr>
  </w:style>
  <w:style w:type="paragraph" w:customStyle="1" w:styleId="font5">
    <w:name w:val="font5"/>
    <w:basedOn w:val="Normal"/>
    <w:rsid w:val="00DD461D"/>
    <w:pPr>
      <w:spacing w:before="100" w:beforeAutospacing="1" w:after="100" w:afterAutospacing="1" w:line="240" w:lineRule="auto"/>
    </w:pPr>
    <w:rPr>
      <w:rFonts w:ascii="Tahoma" w:eastAsia="Times New Roman" w:hAnsi="Tahoma" w:cs="Tahoma"/>
      <w:color w:val="000000"/>
      <w:sz w:val="16"/>
      <w:szCs w:val="16"/>
      <w:lang w:eastAsia="en-AU"/>
    </w:rPr>
  </w:style>
  <w:style w:type="paragraph" w:customStyle="1" w:styleId="font6">
    <w:name w:val="font6"/>
    <w:basedOn w:val="Normal"/>
    <w:rsid w:val="00DD461D"/>
    <w:pPr>
      <w:spacing w:before="100" w:beforeAutospacing="1" w:after="100" w:afterAutospacing="1" w:line="240" w:lineRule="auto"/>
    </w:pPr>
    <w:rPr>
      <w:rFonts w:ascii="Tahoma" w:eastAsia="Times New Roman" w:hAnsi="Tahoma" w:cs="Tahoma"/>
      <w:b/>
      <w:bCs/>
      <w:color w:val="000000"/>
      <w:sz w:val="16"/>
      <w:szCs w:val="16"/>
      <w:lang w:eastAsia="en-AU"/>
    </w:rPr>
  </w:style>
  <w:style w:type="paragraph" w:customStyle="1" w:styleId="font7">
    <w:name w:val="font7"/>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font8">
    <w:name w:val="font8"/>
    <w:basedOn w:val="Normal"/>
    <w:rsid w:val="00DD461D"/>
    <w:pPr>
      <w:spacing w:before="100" w:beforeAutospacing="1" w:after="100" w:afterAutospacing="1" w:line="240" w:lineRule="auto"/>
    </w:pPr>
    <w:rPr>
      <w:rFonts w:ascii="Tahoma" w:eastAsia="Times New Roman" w:hAnsi="Tahoma" w:cs="Tahoma"/>
      <w:i/>
      <w:iCs/>
      <w:sz w:val="16"/>
      <w:szCs w:val="16"/>
      <w:lang w:eastAsia="en-AU"/>
    </w:rPr>
  </w:style>
  <w:style w:type="paragraph" w:customStyle="1" w:styleId="xl65">
    <w:name w:val="xl65"/>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66">
    <w:name w:val="xl66"/>
    <w:basedOn w:val="Normal"/>
    <w:rsid w:val="00DD461D"/>
    <w:pPr>
      <w:spacing w:before="100" w:beforeAutospacing="1" w:after="100" w:afterAutospacing="1" w:line="240" w:lineRule="auto"/>
    </w:pPr>
    <w:rPr>
      <w:rFonts w:ascii="Arial" w:eastAsia="Times New Roman" w:hAnsi="Arial" w:cs="Arial"/>
      <w:b/>
      <w:bCs/>
      <w:sz w:val="18"/>
      <w:szCs w:val="18"/>
      <w:lang w:eastAsia="en-AU"/>
    </w:rPr>
  </w:style>
  <w:style w:type="paragraph" w:customStyle="1" w:styleId="xl67">
    <w:name w:val="xl67"/>
    <w:basedOn w:val="Normal"/>
    <w:rsid w:val="00DD461D"/>
    <w:pPr>
      <w:spacing w:before="100" w:beforeAutospacing="1" w:after="100" w:afterAutospacing="1" w:line="240" w:lineRule="auto"/>
    </w:pPr>
    <w:rPr>
      <w:rFonts w:ascii="Arial" w:eastAsia="Times New Roman" w:hAnsi="Arial" w:cs="Arial"/>
      <w:i/>
      <w:iCs/>
      <w:sz w:val="18"/>
      <w:szCs w:val="18"/>
      <w:lang w:eastAsia="en-AU"/>
    </w:rPr>
  </w:style>
  <w:style w:type="paragraph" w:customStyle="1" w:styleId="xl68">
    <w:name w:val="xl68"/>
    <w:basedOn w:val="Normal"/>
    <w:rsid w:val="00DD461D"/>
    <w:pPr>
      <w:spacing w:before="100" w:beforeAutospacing="1" w:after="100" w:afterAutospacing="1" w:line="240" w:lineRule="auto"/>
    </w:pPr>
    <w:rPr>
      <w:rFonts w:ascii="Arial" w:eastAsia="Times New Roman" w:hAnsi="Arial" w:cs="Arial"/>
      <w:b/>
      <w:bCs/>
      <w:i/>
      <w:iCs/>
      <w:sz w:val="18"/>
      <w:szCs w:val="18"/>
      <w:lang w:eastAsia="en-AU"/>
    </w:rPr>
  </w:style>
  <w:style w:type="paragraph" w:customStyle="1" w:styleId="xl69">
    <w:name w:val="xl69"/>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70">
    <w:name w:val="xl70"/>
    <w:basedOn w:val="Normal"/>
    <w:rsid w:val="00DD461D"/>
    <w:pPr>
      <w:spacing w:before="100" w:beforeAutospacing="1" w:after="100" w:afterAutospacing="1" w:line="240" w:lineRule="auto"/>
    </w:pPr>
    <w:rPr>
      <w:rFonts w:ascii="Arial" w:eastAsia="Times New Roman" w:hAnsi="Arial" w:cs="Arial"/>
      <w:b/>
      <w:bCs/>
      <w:sz w:val="18"/>
      <w:szCs w:val="18"/>
      <w:lang w:eastAsia="en-AU"/>
    </w:rPr>
  </w:style>
  <w:style w:type="paragraph" w:customStyle="1" w:styleId="xl71">
    <w:name w:val="xl71"/>
    <w:basedOn w:val="Normal"/>
    <w:rsid w:val="00DD461D"/>
    <w:pPr>
      <w:spacing w:before="100" w:beforeAutospacing="1" w:after="100" w:afterAutospacing="1" w:line="240" w:lineRule="auto"/>
      <w:jc w:val="right"/>
    </w:pPr>
    <w:rPr>
      <w:rFonts w:ascii="Arial" w:eastAsia="Times New Roman" w:hAnsi="Arial" w:cs="Arial"/>
      <w:sz w:val="18"/>
      <w:szCs w:val="18"/>
      <w:lang w:eastAsia="en-AU"/>
    </w:rPr>
  </w:style>
  <w:style w:type="paragraph" w:customStyle="1" w:styleId="xl72">
    <w:name w:val="xl72"/>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73">
    <w:name w:val="xl73"/>
    <w:basedOn w:val="Normal"/>
    <w:rsid w:val="00DD461D"/>
    <w:pPr>
      <w:spacing w:before="100" w:beforeAutospacing="1" w:after="100" w:afterAutospacing="1" w:line="240" w:lineRule="auto"/>
    </w:pPr>
    <w:rPr>
      <w:rFonts w:ascii="Arial" w:eastAsia="Times New Roman" w:hAnsi="Arial" w:cs="Arial"/>
      <w:b/>
      <w:bCs/>
      <w:sz w:val="18"/>
      <w:szCs w:val="18"/>
      <w:lang w:eastAsia="en-AU"/>
    </w:rPr>
  </w:style>
  <w:style w:type="paragraph" w:customStyle="1" w:styleId="xl74">
    <w:name w:val="xl74"/>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75">
    <w:name w:val="xl75"/>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76">
    <w:name w:val="xl76"/>
    <w:basedOn w:val="Normal"/>
    <w:rsid w:val="00DD461D"/>
    <w:pPr>
      <w:spacing w:before="100" w:beforeAutospacing="1" w:after="100" w:afterAutospacing="1" w:line="240" w:lineRule="auto"/>
      <w:textAlignment w:val="top"/>
    </w:pPr>
    <w:rPr>
      <w:rFonts w:ascii="Arial" w:eastAsia="Times New Roman" w:hAnsi="Arial" w:cs="Arial"/>
      <w:sz w:val="18"/>
      <w:szCs w:val="18"/>
      <w:lang w:eastAsia="en-AU"/>
    </w:rPr>
  </w:style>
  <w:style w:type="paragraph" w:customStyle="1" w:styleId="xl77">
    <w:name w:val="xl77"/>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78">
    <w:name w:val="xl78"/>
    <w:basedOn w:val="Normal"/>
    <w:rsid w:val="00DD461D"/>
    <w:pPr>
      <w:spacing w:before="100" w:beforeAutospacing="1" w:after="100" w:afterAutospacing="1" w:line="240" w:lineRule="auto"/>
      <w:jc w:val="both"/>
    </w:pPr>
    <w:rPr>
      <w:rFonts w:ascii="Arial" w:eastAsia="Times New Roman" w:hAnsi="Arial" w:cs="Arial"/>
      <w:sz w:val="18"/>
      <w:szCs w:val="18"/>
      <w:lang w:eastAsia="en-AU"/>
    </w:rPr>
  </w:style>
  <w:style w:type="paragraph" w:customStyle="1" w:styleId="xl79">
    <w:name w:val="xl79"/>
    <w:basedOn w:val="Normal"/>
    <w:rsid w:val="00DD461D"/>
    <w:pPr>
      <w:spacing w:before="100" w:beforeAutospacing="1" w:after="100" w:afterAutospacing="1" w:line="240" w:lineRule="auto"/>
    </w:pPr>
    <w:rPr>
      <w:rFonts w:ascii="Arial" w:eastAsia="Times New Roman" w:hAnsi="Arial" w:cs="Arial"/>
      <w:i/>
      <w:iCs/>
      <w:sz w:val="18"/>
      <w:szCs w:val="18"/>
      <w:lang w:eastAsia="en-AU"/>
    </w:rPr>
  </w:style>
  <w:style w:type="paragraph" w:customStyle="1" w:styleId="xl80">
    <w:name w:val="xl80"/>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81">
    <w:name w:val="xl81"/>
    <w:basedOn w:val="Normal"/>
    <w:rsid w:val="00DD461D"/>
    <w:pPr>
      <w:spacing w:before="100" w:beforeAutospacing="1" w:after="100" w:afterAutospacing="1" w:line="240" w:lineRule="auto"/>
      <w:jc w:val="both"/>
    </w:pPr>
    <w:rPr>
      <w:rFonts w:ascii="Arial" w:eastAsia="Times New Roman" w:hAnsi="Arial" w:cs="Arial"/>
      <w:sz w:val="18"/>
      <w:szCs w:val="18"/>
      <w:lang w:eastAsia="en-AU"/>
    </w:rPr>
  </w:style>
  <w:style w:type="paragraph" w:customStyle="1" w:styleId="xl82">
    <w:name w:val="xl82"/>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83">
    <w:name w:val="xl83"/>
    <w:basedOn w:val="Normal"/>
    <w:rsid w:val="00DD461D"/>
    <w:pPr>
      <w:spacing w:before="100" w:beforeAutospacing="1" w:after="100" w:afterAutospacing="1" w:line="240" w:lineRule="auto"/>
      <w:jc w:val="both"/>
      <w:textAlignment w:val="top"/>
    </w:pPr>
    <w:rPr>
      <w:rFonts w:ascii="Arial" w:eastAsia="Times New Roman" w:hAnsi="Arial" w:cs="Arial"/>
      <w:sz w:val="18"/>
      <w:szCs w:val="18"/>
      <w:lang w:eastAsia="en-AU"/>
    </w:rPr>
  </w:style>
  <w:style w:type="paragraph" w:customStyle="1" w:styleId="xl84">
    <w:name w:val="xl84"/>
    <w:basedOn w:val="Normal"/>
    <w:rsid w:val="00DD461D"/>
    <w:pPr>
      <w:spacing w:before="100" w:beforeAutospacing="1" w:after="100" w:afterAutospacing="1" w:line="240" w:lineRule="auto"/>
      <w:jc w:val="center"/>
    </w:pPr>
    <w:rPr>
      <w:rFonts w:ascii="Arial" w:eastAsia="Times New Roman" w:hAnsi="Arial" w:cs="Arial"/>
      <w:b/>
      <w:bCs/>
      <w:sz w:val="18"/>
      <w:szCs w:val="18"/>
      <w:lang w:eastAsia="en-AU"/>
    </w:rPr>
  </w:style>
  <w:style w:type="paragraph" w:customStyle="1" w:styleId="xl85">
    <w:name w:val="xl85"/>
    <w:basedOn w:val="Normal"/>
    <w:rsid w:val="00DD461D"/>
    <w:pPr>
      <w:spacing w:before="100" w:beforeAutospacing="1" w:after="100" w:afterAutospacing="1" w:line="240" w:lineRule="auto"/>
    </w:pPr>
    <w:rPr>
      <w:rFonts w:ascii="Arial" w:eastAsia="Times New Roman" w:hAnsi="Arial" w:cs="Arial"/>
      <w:sz w:val="18"/>
      <w:szCs w:val="18"/>
      <w:lang w:eastAsia="en-AU"/>
    </w:rPr>
  </w:style>
  <w:style w:type="paragraph" w:customStyle="1" w:styleId="xl86">
    <w:name w:val="xl86"/>
    <w:basedOn w:val="Normal"/>
    <w:rsid w:val="00DD461D"/>
    <w:pPr>
      <w:spacing w:before="100" w:beforeAutospacing="1" w:after="100" w:afterAutospacing="1" w:line="240" w:lineRule="auto"/>
      <w:jc w:val="center"/>
    </w:pPr>
    <w:rPr>
      <w:rFonts w:ascii="Arial" w:eastAsia="Times New Roman" w:hAnsi="Arial" w:cs="Arial"/>
      <w:sz w:val="18"/>
      <w:szCs w:val="18"/>
      <w:lang w:eastAsia="en-AU"/>
    </w:rPr>
  </w:style>
  <w:style w:type="paragraph" w:customStyle="1" w:styleId="xl87">
    <w:name w:val="xl87"/>
    <w:basedOn w:val="Normal"/>
    <w:rsid w:val="00DD461D"/>
    <w:pPr>
      <w:spacing w:before="100" w:beforeAutospacing="1" w:after="100" w:afterAutospacing="1" w:line="240" w:lineRule="auto"/>
      <w:jc w:val="both"/>
      <w:textAlignment w:val="top"/>
    </w:pPr>
    <w:rPr>
      <w:rFonts w:ascii="Arial" w:eastAsia="Times New Roman" w:hAnsi="Arial" w:cs="Arial"/>
      <w:sz w:val="18"/>
      <w:szCs w:val="18"/>
      <w:lang w:eastAsia="en-AU"/>
    </w:rPr>
  </w:style>
  <w:style w:type="paragraph" w:customStyle="1" w:styleId="xl88">
    <w:name w:val="xl88"/>
    <w:basedOn w:val="Normal"/>
    <w:rsid w:val="00DD461D"/>
    <w:pPr>
      <w:spacing w:before="100" w:beforeAutospacing="1" w:after="100" w:afterAutospacing="1" w:line="240" w:lineRule="auto"/>
    </w:pPr>
    <w:rPr>
      <w:rFonts w:ascii="Arial" w:eastAsia="Times New Roman" w:hAnsi="Arial" w:cs="Arial"/>
      <w:b/>
      <w:bCs/>
      <w:sz w:val="18"/>
      <w:szCs w:val="18"/>
      <w:lang w:eastAsia="en-AU"/>
    </w:rPr>
  </w:style>
  <w:style w:type="paragraph" w:customStyle="1" w:styleId="xl89">
    <w:name w:val="xl89"/>
    <w:basedOn w:val="Normal"/>
    <w:rsid w:val="00DD461D"/>
    <w:pPr>
      <w:spacing w:before="100" w:beforeAutospacing="1" w:after="100" w:afterAutospacing="1" w:line="240" w:lineRule="auto"/>
    </w:pPr>
    <w:rPr>
      <w:rFonts w:ascii="Arial" w:eastAsia="Times New Roman" w:hAnsi="Arial" w:cs="Arial"/>
      <w:color w:val="FF0000"/>
      <w:sz w:val="18"/>
      <w:szCs w:val="18"/>
      <w:lang w:eastAsia="en-AU"/>
    </w:rPr>
  </w:style>
  <w:style w:type="paragraph" w:customStyle="1" w:styleId="xl90">
    <w:name w:val="xl90"/>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91">
    <w:name w:val="xl91"/>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92">
    <w:name w:val="xl92"/>
    <w:basedOn w:val="Normal"/>
    <w:rsid w:val="00DD461D"/>
    <w:pPr>
      <w:spacing w:before="100" w:beforeAutospacing="1" w:after="100" w:afterAutospacing="1" w:line="240" w:lineRule="auto"/>
      <w:jc w:val="center"/>
    </w:pPr>
    <w:rPr>
      <w:rFonts w:ascii="Tahoma" w:eastAsia="Times New Roman" w:hAnsi="Tahoma" w:cs="Tahoma"/>
      <w:sz w:val="16"/>
      <w:szCs w:val="16"/>
      <w:lang w:eastAsia="en-AU"/>
    </w:rPr>
  </w:style>
  <w:style w:type="paragraph" w:customStyle="1" w:styleId="xl93">
    <w:name w:val="xl93"/>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94">
    <w:name w:val="xl94"/>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95">
    <w:name w:val="xl95"/>
    <w:basedOn w:val="Normal"/>
    <w:rsid w:val="00DD461D"/>
    <w:pPr>
      <w:spacing w:before="100" w:beforeAutospacing="1" w:after="100" w:afterAutospacing="1" w:line="240" w:lineRule="auto"/>
      <w:jc w:val="right"/>
    </w:pPr>
    <w:rPr>
      <w:rFonts w:ascii="Tahoma" w:eastAsia="Times New Roman" w:hAnsi="Tahoma" w:cs="Tahoma"/>
      <w:b/>
      <w:bCs/>
      <w:sz w:val="16"/>
      <w:szCs w:val="16"/>
      <w:lang w:eastAsia="en-AU"/>
    </w:rPr>
  </w:style>
  <w:style w:type="paragraph" w:customStyle="1" w:styleId="xl96">
    <w:name w:val="xl96"/>
    <w:basedOn w:val="Normal"/>
    <w:rsid w:val="00DD461D"/>
    <w:pPr>
      <w:spacing w:before="100" w:beforeAutospacing="1" w:after="100" w:afterAutospacing="1" w:line="240" w:lineRule="auto"/>
    </w:pPr>
    <w:rPr>
      <w:rFonts w:ascii="Tahoma" w:eastAsia="Times New Roman" w:hAnsi="Tahoma" w:cs="Tahoma"/>
      <w:b/>
      <w:bCs/>
      <w:i/>
      <w:iCs/>
      <w:sz w:val="16"/>
      <w:szCs w:val="16"/>
      <w:lang w:eastAsia="en-AU"/>
    </w:rPr>
  </w:style>
  <w:style w:type="paragraph" w:customStyle="1" w:styleId="xl97">
    <w:name w:val="xl97"/>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98">
    <w:name w:val="xl98"/>
    <w:basedOn w:val="Normal"/>
    <w:rsid w:val="00DD461D"/>
    <w:pPr>
      <w:spacing w:before="100" w:beforeAutospacing="1" w:after="100" w:afterAutospacing="1" w:line="240" w:lineRule="auto"/>
    </w:pPr>
    <w:rPr>
      <w:rFonts w:ascii="Tahoma" w:eastAsia="Times New Roman" w:hAnsi="Tahoma" w:cs="Tahoma"/>
      <w:i/>
      <w:iCs/>
      <w:sz w:val="16"/>
      <w:szCs w:val="16"/>
      <w:lang w:eastAsia="en-AU"/>
    </w:rPr>
  </w:style>
  <w:style w:type="paragraph" w:customStyle="1" w:styleId="xl99">
    <w:name w:val="xl99"/>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00">
    <w:name w:val="xl100"/>
    <w:basedOn w:val="Normal"/>
    <w:rsid w:val="00DD461D"/>
    <w:pPr>
      <w:spacing w:before="100" w:beforeAutospacing="1" w:after="100" w:afterAutospacing="1" w:line="240" w:lineRule="auto"/>
      <w:jc w:val="center"/>
    </w:pPr>
    <w:rPr>
      <w:rFonts w:ascii="Tahoma" w:eastAsia="Times New Roman" w:hAnsi="Tahoma" w:cs="Tahoma"/>
      <w:b/>
      <w:bCs/>
      <w:sz w:val="16"/>
      <w:szCs w:val="16"/>
      <w:lang w:eastAsia="en-AU"/>
    </w:rPr>
  </w:style>
  <w:style w:type="paragraph" w:customStyle="1" w:styleId="xl101">
    <w:name w:val="xl101"/>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02">
    <w:name w:val="xl102"/>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03">
    <w:name w:val="xl103"/>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04">
    <w:name w:val="xl104"/>
    <w:basedOn w:val="Normal"/>
    <w:rsid w:val="00DD461D"/>
    <w:pPr>
      <w:spacing w:before="100" w:beforeAutospacing="1" w:after="100" w:afterAutospacing="1" w:line="240" w:lineRule="auto"/>
      <w:jc w:val="both"/>
    </w:pPr>
    <w:rPr>
      <w:rFonts w:ascii="Tahoma" w:eastAsia="Times New Roman" w:hAnsi="Tahoma" w:cs="Tahoma"/>
      <w:b/>
      <w:bCs/>
      <w:sz w:val="16"/>
      <w:szCs w:val="16"/>
      <w:lang w:eastAsia="en-AU"/>
    </w:rPr>
  </w:style>
  <w:style w:type="paragraph" w:customStyle="1" w:styleId="xl105">
    <w:name w:val="xl105"/>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06">
    <w:name w:val="xl106"/>
    <w:basedOn w:val="Normal"/>
    <w:rsid w:val="00DD461D"/>
    <w:pPr>
      <w:spacing w:before="100" w:beforeAutospacing="1" w:after="100" w:afterAutospacing="1" w:line="240" w:lineRule="auto"/>
      <w:jc w:val="right"/>
      <w:textAlignment w:val="top"/>
    </w:pPr>
    <w:rPr>
      <w:rFonts w:ascii="Tahoma" w:eastAsia="Times New Roman" w:hAnsi="Tahoma" w:cs="Tahoma"/>
      <w:sz w:val="16"/>
      <w:szCs w:val="16"/>
      <w:lang w:eastAsia="en-AU"/>
    </w:rPr>
  </w:style>
  <w:style w:type="paragraph" w:customStyle="1" w:styleId="xl107">
    <w:name w:val="xl107"/>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08">
    <w:name w:val="xl108"/>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09">
    <w:name w:val="xl109"/>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10">
    <w:name w:val="xl110"/>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11">
    <w:name w:val="xl111"/>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12">
    <w:name w:val="xl112"/>
    <w:basedOn w:val="Normal"/>
    <w:rsid w:val="00DD461D"/>
    <w:pPr>
      <w:spacing w:before="100" w:beforeAutospacing="1" w:after="100" w:afterAutospacing="1" w:line="240" w:lineRule="auto"/>
      <w:textAlignment w:val="top"/>
    </w:pPr>
    <w:rPr>
      <w:rFonts w:ascii="Tahoma" w:eastAsia="Times New Roman" w:hAnsi="Tahoma" w:cs="Tahoma"/>
      <w:b/>
      <w:bCs/>
      <w:sz w:val="16"/>
      <w:szCs w:val="16"/>
      <w:lang w:eastAsia="en-AU"/>
    </w:rPr>
  </w:style>
  <w:style w:type="paragraph" w:customStyle="1" w:styleId="xl113">
    <w:name w:val="xl113"/>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14">
    <w:name w:val="xl114"/>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15">
    <w:name w:val="xl115"/>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16">
    <w:name w:val="xl116"/>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17">
    <w:name w:val="xl117"/>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18">
    <w:name w:val="xl118"/>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19">
    <w:name w:val="xl119"/>
    <w:basedOn w:val="Normal"/>
    <w:rsid w:val="00DD461D"/>
    <w:pPr>
      <w:spacing w:before="100" w:beforeAutospacing="1" w:after="100" w:afterAutospacing="1" w:line="240" w:lineRule="auto"/>
      <w:jc w:val="both"/>
    </w:pPr>
    <w:rPr>
      <w:rFonts w:ascii="Tahoma" w:eastAsia="Times New Roman" w:hAnsi="Tahoma" w:cs="Tahoma"/>
      <w:color w:val="FF00FF"/>
      <w:sz w:val="16"/>
      <w:szCs w:val="16"/>
      <w:lang w:eastAsia="en-AU"/>
    </w:rPr>
  </w:style>
  <w:style w:type="paragraph" w:customStyle="1" w:styleId="xl120">
    <w:name w:val="xl120"/>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21">
    <w:name w:val="xl121"/>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22">
    <w:name w:val="xl122"/>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23">
    <w:name w:val="xl123"/>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24">
    <w:name w:val="xl124"/>
    <w:basedOn w:val="Normal"/>
    <w:rsid w:val="00DD461D"/>
    <w:pPr>
      <w:spacing w:before="100" w:beforeAutospacing="1" w:after="100" w:afterAutospacing="1" w:line="240" w:lineRule="auto"/>
    </w:pPr>
    <w:rPr>
      <w:rFonts w:ascii="Tahoma" w:eastAsia="Times New Roman" w:hAnsi="Tahoma" w:cs="Tahoma"/>
      <w:i/>
      <w:iCs/>
      <w:sz w:val="16"/>
      <w:szCs w:val="16"/>
      <w:lang w:eastAsia="en-AU"/>
    </w:rPr>
  </w:style>
  <w:style w:type="paragraph" w:customStyle="1" w:styleId="xl125">
    <w:name w:val="xl125"/>
    <w:basedOn w:val="Normal"/>
    <w:rsid w:val="00DD461D"/>
    <w:pPr>
      <w:spacing w:before="100" w:beforeAutospacing="1" w:after="100" w:afterAutospacing="1" w:line="240" w:lineRule="auto"/>
      <w:jc w:val="both"/>
      <w:textAlignment w:val="top"/>
    </w:pPr>
    <w:rPr>
      <w:rFonts w:ascii="Tahoma" w:eastAsia="Times New Roman" w:hAnsi="Tahoma" w:cs="Tahoma"/>
      <w:i/>
      <w:iCs/>
      <w:sz w:val="16"/>
      <w:szCs w:val="16"/>
      <w:lang w:eastAsia="en-AU"/>
    </w:rPr>
  </w:style>
  <w:style w:type="paragraph" w:customStyle="1" w:styleId="xl126">
    <w:name w:val="xl126"/>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27">
    <w:name w:val="xl127"/>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28">
    <w:name w:val="xl128"/>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29">
    <w:name w:val="xl129"/>
    <w:basedOn w:val="Normal"/>
    <w:rsid w:val="00DD461D"/>
    <w:pPr>
      <w:spacing w:before="100" w:beforeAutospacing="1" w:after="100" w:afterAutospacing="1" w:line="240" w:lineRule="auto"/>
      <w:jc w:val="both"/>
      <w:textAlignment w:val="top"/>
    </w:pPr>
    <w:rPr>
      <w:rFonts w:ascii="Tahoma" w:eastAsia="Times New Roman" w:hAnsi="Tahoma" w:cs="Tahoma"/>
      <w:b/>
      <w:bCs/>
      <w:sz w:val="16"/>
      <w:szCs w:val="16"/>
      <w:lang w:eastAsia="en-AU"/>
    </w:rPr>
  </w:style>
  <w:style w:type="paragraph" w:customStyle="1" w:styleId="xl130">
    <w:name w:val="xl130"/>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31">
    <w:name w:val="xl131"/>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32">
    <w:name w:val="xl132"/>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33">
    <w:name w:val="xl133"/>
    <w:basedOn w:val="Normal"/>
    <w:rsid w:val="00DD461D"/>
    <w:pPr>
      <w:spacing w:before="100" w:beforeAutospacing="1" w:after="100" w:afterAutospacing="1" w:line="240" w:lineRule="auto"/>
      <w:jc w:val="right"/>
    </w:pPr>
    <w:rPr>
      <w:rFonts w:ascii="Tahoma" w:eastAsia="Times New Roman" w:hAnsi="Tahoma" w:cs="Tahoma"/>
      <w:b/>
      <w:bCs/>
      <w:sz w:val="16"/>
      <w:szCs w:val="16"/>
      <w:lang w:eastAsia="en-AU"/>
    </w:rPr>
  </w:style>
  <w:style w:type="paragraph" w:customStyle="1" w:styleId="xl134">
    <w:name w:val="xl134"/>
    <w:basedOn w:val="Normal"/>
    <w:rsid w:val="00DD461D"/>
    <w:pPr>
      <w:spacing w:before="100" w:beforeAutospacing="1" w:after="100" w:afterAutospacing="1" w:line="240" w:lineRule="auto"/>
      <w:jc w:val="center"/>
    </w:pPr>
    <w:rPr>
      <w:rFonts w:ascii="Tahoma" w:eastAsia="Times New Roman" w:hAnsi="Tahoma" w:cs="Tahoma"/>
      <w:b/>
      <w:bCs/>
      <w:sz w:val="16"/>
      <w:szCs w:val="16"/>
      <w:lang w:eastAsia="en-AU"/>
    </w:rPr>
  </w:style>
  <w:style w:type="paragraph" w:customStyle="1" w:styleId="xl135">
    <w:name w:val="xl135"/>
    <w:basedOn w:val="Normal"/>
    <w:rsid w:val="00DD461D"/>
    <w:pPr>
      <w:spacing w:before="100" w:beforeAutospacing="1" w:after="100" w:afterAutospacing="1" w:line="240" w:lineRule="auto"/>
      <w:jc w:val="right"/>
    </w:pPr>
    <w:rPr>
      <w:rFonts w:ascii="Tahoma" w:eastAsia="Times New Roman" w:hAnsi="Tahoma" w:cs="Tahoma"/>
      <w:sz w:val="16"/>
      <w:szCs w:val="16"/>
      <w:lang w:eastAsia="en-AU"/>
    </w:rPr>
  </w:style>
  <w:style w:type="paragraph" w:customStyle="1" w:styleId="xl136">
    <w:name w:val="xl136"/>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37">
    <w:name w:val="xl137"/>
    <w:basedOn w:val="Normal"/>
    <w:rsid w:val="00DD461D"/>
    <w:pPr>
      <w:spacing w:before="100" w:beforeAutospacing="1" w:after="100" w:afterAutospacing="1" w:line="240" w:lineRule="auto"/>
      <w:jc w:val="center"/>
    </w:pPr>
    <w:rPr>
      <w:rFonts w:ascii="Tahoma" w:eastAsia="Times New Roman" w:hAnsi="Tahoma" w:cs="Tahoma"/>
      <w:b/>
      <w:bCs/>
      <w:sz w:val="16"/>
      <w:szCs w:val="16"/>
      <w:lang w:eastAsia="en-AU"/>
    </w:rPr>
  </w:style>
  <w:style w:type="paragraph" w:customStyle="1" w:styleId="xl138">
    <w:name w:val="xl138"/>
    <w:basedOn w:val="Normal"/>
    <w:rsid w:val="00DD461D"/>
    <w:pPr>
      <w:spacing w:before="100" w:beforeAutospacing="1" w:after="100" w:afterAutospacing="1" w:line="240" w:lineRule="auto"/>
      <w:jc w:val="both"/>
    </w:pPr>
    <w:rPr>
      <w:rFonts w:ascii="Tahoma" w:eastAsia="Times New Roman" w:hAnsi="Tahoma" w:cs="Tahoma"/>
      <w:b/>
      <w:bCs/>
      <w:i/>
      <w:iCs/>
      <w:sz w:val="16"/>
      <w:szCs w:val="16"/>
      <w:lang w:eastAsia="en-AU"/>
    </w:rPr>
  </w:style>
  <w:style w:type="paragraph" w:customStyle="1" w:styleId="xl139">
    <w:name w:val="xl139"/>
    <w:basedOn w:val="Normal"/>
    <w:rsid w:val="00DD461D"/>
    <w:pPr>
      <w:spacing w:before="100" w:beforeAutospacing="1" w:after="100" w:afterAutospacing="1" w:line="240" w:lineRule="auto"/>
      <w:jc w:val="right"/>
    </w:pPr>
    <w:rPr>
      <w:rFonts w:ascii="Tahoma" w:eastAsia="Times New Roman" w:hAnsi="Tahoma" w:cs="Tahoma"/>
      <w:b/>
      <w:bCs/>
      <w:sz w:val="16"/>
      <w:szCs w:val="16"/>
      <w:lang w:eastAsia="en-AU"/>
    </w:rPr>
  </w:style>
  <w:style w:type="paragraph" w:customStyle="1" w:styleId="xl140">
    <w:name w:val="xl140"/>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41">
    <w:name w:val="xl141"/>
    <w:basedOn w:val="Normal"/>
    <w:rsid w:val="00DD461D"/>
    <w:pPr>
      <w:spacing w:before="100" w:beforeAutospacing="1" w:after="100" w:afterAutospacing="1" w:line="240" w:lineRule="auto"/>
    </w:pPr>
    <w:rPr>
      <w:rFonts w:ascii="Tahoma" w:eastAsia="Times New Roman" w:hAnsi="Tahoma" w:cs="Tahoma"/>
      <w:b/>
      <w:bCs/>
      <w:i/>
      <w:iCs/>
      <w:sz w:val="16"/>
      <w:szCs w:val="16"/>
      <w:lang w:eastAsia="en-AU"/>
    </w:rPr>
  </w:style>
  <w:style w:type="paragraph" w:customStyle="1" w:styleId="xl142">
    <w:name w:val="xl142"/>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43">
    <w:name w:val="xl143"/>
    <w:basedOn w:val="Normal"/>
    <w:rsid w:val="00DD461D"/>
    <w:pPr>
      <w:spacing w:before="100" w:beforeAutospacing="1" w:after="100" w:afterAutospacing="1" w:line="240" w:lineRule="auto"/>
    </w:pPr>
    <w:rPr>
      <w:rFonts w:ascii="Tahoma" w:eastAsia="Times New Roman" w:hAnsi="Tahoma" w:cs="Tahoma"/>
      <w:b/>
      <w:bCs/>
      <w:i/>
      <w:iCs/>
      <w:sz w:val="16"/>
      <w:szCs w:val="16"/>
      <w:lang w:eastAsia="en-AU"/>
    </w:rPr>
  </w:style>
  <w:style w:type="paragraph" w:customStyle="1" w:styleId="xl144">
    <w:name w:val="xl144"/>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45">
    <w:name w:val="xl145"/>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46">
    <w:name w:val="xl146"/>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47">
    <w:name w:val="xl147"/>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48">
    <w:name w:val="xl148"/>
    <w:basedOn w:val="Normal"/>
    <w:rsid w:val="00DD461D"/>
    <w:pPr>
      <w:spacing w:before="100" w:beforeAutospacing="1" w:after="100" w:afterAutospacing="1" w:line="240" w:lineRule="auto"/>
    </w:pPr>
    <w:rPr>
      <w:rFonts w:ascii="Tahoma" w:eastAsia="Times New Roman" w:hAnsi="Tahoma" w:cs="Tahoma"/>
      <w:b/>
      <w:bCs/>
      <w:i/>
      <w:iCs/>
      <w:sz w:val="16"/>
      <w:szCs w:val="16"/>
      <w:lang w:eastAsia="en-AU"/>
    </w:rPr>
  </w:style>
  <w:style w:type="paragraph" w:customStyle="1" w:styleId="xl149">
    <w:name w:val="xl149"/>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50">
    <w:name w:val="xl150"/>
    <w:basedOn w:val="Normal"/>
    <w:rsid w:val="00DD461D"/>
    <w:pPr>
      <w:spacing w:before="100" w:beforeAutospacing="1" w:after="100" w:afterAutospacing="1" w:line="240" w:lineRule="auto"/>
      <w:jc w:val="both"/>
    </w:pPr>
    <w:rPr>
      <w:rFonts w:ascii="Tahoma" w:eastAsia="Times New Roman" w:hAnsi="Tahoma" w:cs="Tahoma"/>
      <w:b/>
      <w:bCs/>
      <w:sz w:val="16"/>
      <w:szCs w:val="16"/>
      <w:lang w:eastAsia="en-AU"/>
    </w:rPr>
  </w:style>
  <w:style w:type="paragraph" w:customStyle="1" w:styleId="xl151">
    <w:name w:val="xl151"/>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52">
    <w:name w:val="xl152"/>
    <w:basedOn w:val="Normal"/>
    <w:rsid w:val="00DD461D"/>
    <w:pPr>
      <w:spacing w:before="100" w:beforeAutospacing="1" w:after="100" w:afterAutospacing="1" w:line="240" w:lineRule="auto"/>
      <w:jc w:val="both"/>
    </w:pPr>
    <w:rPr>
      <w:rFonts w:ascii="Tahoma" w:eastAsia="Times New Roman" w:hAnsi="Tahoma" w:cs="Tahoma"/>
      <w:b/>
      <w:bCs/>
      <w:i/>
      <w:iCs/>
      <w:sz w:val="16"/>
      <w:szCs w:val="16"/>
      <w:lang w:eastAsia="en-AU"/>
    </w:rPr>
  </w:style>
  <w:style w:type="paragraph" w:customStyle="1" w:styleId="xl153">
    <w:name w:val="xl153"/>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54">
    <w:name w:val="xl154"/>
    <w:basedOn w:val="Normal"/>
    <w:rsid w:val="00DD461D"/>
    <w:pPr>
      <w:spacing w:before="100" w:beforeAutospacing="1" w:after="100" w:afterAutospacing="1" w:line="240" w:lineRule="auto"/>
    </w:pPr>
    <w:rPr>
      <w:rFonts w:ascii="Tahoma" w:eastAsia="Times New Roman" w:hAnsi="Tahoma" w:cs="Tahoma"/>
      <w:color w:val="FF0000"/>
      <w:sz w:val="16"/>
      <w:szCs w:val="16"/>
      <w:lang w:eastAsia="en-AU"/>
    </w:rPr>
  </w:style>
  <w:style w:type="paragraph" w:customStyle="1" w:styleId="xl155">
    <w:name w:val="xl155"/>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56">
    <w:name w:val="xl156"/>
    <w:basedOn w:val="Normal"/>
    <w:rsid w:val="00DD461D"/>
    <w:pPr>
      <w:spacing w:before="100" w:beforeAutospacing="1" w:after="100" w:afterAutospacing="1" w:line="240" w:lineRule="auto"/>
      <w:jc w:val="right"/>
    </w:pPr>
    <w:rPr>
      <w:rFonts w:ascii="Arial" w:eastAsia="Times New Roman" w:hAnsi="Arial" w:cs="Arial"/>
      <w:color w:val="FF0000"/>
      <w:sz w:val="18"/>
      <w:szCs w:val="18"/>
      <w:lang w:eastAsia="en-AU"/>
    </w:rPr>
  </w:style>
  <w:style w:type="paragraph" w:customStyle="1" w:styleId="xl157">
    <w:name w:val="xl157"/>
    <w:basedOn w:val="Normal"/>
    <w:rsid w:val="00DD461D"/>
    <w:pPr>
      <w:spacing w:before="100" w:beforeAutospacing="1" w:after="100" w:afterAutospacing="1" w:line="240" w:lineRule="auto"/>
    </w:pPr>
    <w:rPr>
      <w:rFonts w:ascii="Arial" w:eastAsia="Times New Roman" w:hAnsi="Arial" w:cs="Arial"/>
      <w:color w:val="FF0000"/>
      <w:sz w:val="18"/>
      <w:szCs w:val="18"/>
      <w:lang w:eastAsia="en-AU"/>
    </w:rPr>
  </w:style>
  <w:style w:type="paragraph" w:customStyle="1" w:styleId="xl158">
    <w:name w:val="xl158"/>
    <w:basedOn w:val="Normal"/>
    <w:rsid w:val="00DD461D"/>
    <w:pPr>
      <w:spacing w:before="100" w:beforeAutospacing="1" w:after="100" w:afterAutospacing="1" w:line="240" w:lineRule="auto"/>
      <w:jc w:val="right"/>
    </w:pPr>
    <w:rPr>
      <w:rFonts w:ascii="Tahoma" w:eastAsia="Times New Roman" w:hAnsi="Tahoma" w:cs="Tahoma"/>
      <w:sz w:val="16"/>
      <w:szCs w:val="16"/>
      <w:lang w:eastAsia="en-AU"/>
    </w:rPr>
  </w:style>
  <w:style w:type="paragraph" w:customStyle="1" w:styleId="xl159">
    <w:name w:val="xl159"/>
    <w:basedOn w:val="Normal"/>
    <w:rsid w:val="00DD461D"/>
    <w:pPr>
      <w:spacing w:before="100" w:beforeAutospacing="1" w:after="100" w:afterAutospacing="1" w:line="240" w:lineRule="auto"/>
      <w:textAlignment w:val="top"/>
    </w:pPr>
    <w:rPr>
      <w:rFonts w:ascii="Tahoma" w:eastAsia="Times New Roman" w:hAnsi="Tahoma" w:cs="Tahoma"/>
      <w:b/>
      <w:bCs/>
      <w:sz w:val="16"/>
      <w:szCs w:val="16"/>
      <w:lang w:eastAsia="en-AU"/>
    </w:rPr>
  </w:style>
  <w:style w:type="paragraph" w:customStyle="1" w:styleId="xl160">
    <w:name w:val="xl160"/>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61">
    <w:name w:val="xl161"/>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62">
    <w:name w:val="xl162"/>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63">
    <w:name w:val="xl163"/>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16"/>
      <w:szCs w:val="16"/>
      <w:lang w:eastAsia="en-AU"/>
    </w:rPr>
  </w:style>
  <w:style w:type="paragraph" w:customStyle="1" w:styleId="xl164">
    <w:name w:val="xl164"/>
    <w:basedOn w:val="Normal"/>
    <w:rsid w:val="00DD461D"/>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eastAsia="en-AU"/>
    </w:rPr>
  </w:style>
  <w:style w:type="paragraph" w:customStyle="1" w:styleId="xl165">
    <w:name w:val="xl165"/>
    <w:basedOn w:val="Normal"/>
    <w:rsid w:val="00DD461D"/>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eastAsia="en-AU"/>
    </w:rPr>
  </w:style>
  <w:style w:type="paragraph" w:customStyle="1" w:styleId="xl166">
    <w:name w:val="xl166"/>
    <w:basedOn w:val="Normal"/>
    <w:rsid w:val="00DD461D"/>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en-AU"/>
    </w:rPr>
  </w:style>
  <w:style w:type="paragraph" w:customStyle="1" w:styleId="xl167">
    <w:name w:val="xl167"/>
    <w:basedOn w:val="Normal"/>
    <w:rsid w:val="00DD461D"/>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en-AU"/>
    </w:rPr>
  </w:style>
  <w:style w:type="paragraph" w:customStyle="1" w:styleId="xl168">
    <w:name w:val="xl168"/>
    <w:basedOn w:val="Normal"/>
    <w:rsid w:val="00DD461D"/>
    <w:pPr>
      <w:pBdr>
        <w:left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en-AU"/>
    </w:rPr>
  </w:style>
  <w:style w:type="paragraph" w:customStyle="1" w:styleId="xl169">
    <w:name w:val="xl169"/>
    <w:basedOn w:val="Normal"/>
    <w:rsid w:val="00DD461D"/>
    <w:pPr>
      <w:pBdr>
        <w:left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en-AU"/>
    </w:rPr>
  </w:style>
  <w:style w:type="paragraph" w:customStyle="1" w:styleId="xl170">
    <w:name w:val="xl170"/>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en-AU"/>
    </w:rPr>
  </w:style>
  <w:style w:type="paragraph" w:customStyle="1" w:styleId="xl171">
    <w:name w:val="xl171"/>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en-AU"/>
    </w:rPr>
  </w:style>
  <w:style w:type="paragraph" w:customStyle="1" w:styleId="xl172">
    <w:name w:val="xl172"/>
    <w:basedOn w:val="Normal"/>
    <w:rsid w:val="00DD461D"/>
    <w:pPr>
      <w:spacing w:before="100" w:beforeAutospacing="1" w:after="100" w:afterAutospacing="1" w:line="240" w:lineRule="auto"/>
      <w:jc w:val="both"/>
    </w:pPr>
    <w:rPr>
      <w:rFonts w:ascii="Tahoma" w:eastAsia="Times New Roman" w:hAnsi="Tahoma" w:cs="Tahoma"/>
      <w:sz w:val="16"/>
      <w:szCs w:val="16"/>
      <w:lang w:eastAsia="en-AU"/>
    </w:rPr>
  </w:style>
  <w:style w:type="paragraph" w:customStyle="1" w:styleId="xl173">
    <w:name w:val="xl173"/>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74">
    <w:name w:val="xl174"/>
    <w:basedOn w:val="Normal"/>
    <w:rsid w:val="00DD461D"/>
    <w:pPr>
      <w:spacing w:before="100" w:beforeAutospacing="1" w:after="100" w:afterAutospacing="1" w:line="240" w:lineRule="auto"/>
      <w:textAlignment w:val="top"/>
    </w:pPr>
    <w:rPr>
      <w:rFonts w:ascii="Tahoma" w:eastAsia="Times New Roman" w:hAnsi="Tahoma" w:cs="Tahoma"/>
      <w:b/>
      <w:bCs/>
      <w:sz w:val="16"/>
      <w:szCs w:val="16"/>
      <w:lang w:eastAsia="en-AU"/>
    </w:rPr>
  </w:style>
  <w:style w:type="paragraph" w:customStyle="1" w:styleId="xl175">
    <w:name w:val="xl175"/>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76">
    <w:name w:val="xl176"/>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16"/>
      <w:szCs w:val="16"/>
      <w:lang w:eastAsia="en-AU"/>
    </w:rPr>
  </w:style>
  <w:style w:type="paragraph" w:customStyle="1" w:styleId="xl177">
    <w:name w:val="xl177"/>
    <w:basedOn w:val="Normal"/>
    <w:rsid w:val="00DD461D"/>
    <w:pPr>
      <w:spacing w:before="100" w:beforeAutospacing="1" w:after="100" w:afterAutospacing="1" w:line="240" w:lineRule="auto"/>
      <w:jc w:val="right"/>
    </w:pPr>
    <w:rPr>
      <w:rFonts w:ascii="Tahoma" w:eastAsia="Times New Roman" w:hAnsi="Tahoma" w:cs="Tahoma"/>
      <w:sz w:val="16"/>
      <w:szCs w:val="16"/>
      <w:lang w:eastAsia="en-AU"/>
    </w:rPr>
  </w:style>
  <w:style w:type="paragraph" w:customStyle="1" w:styleId="xl178">
    <w:name w:val="xl178"/>
    <w:basedOn w:val="Normal"/>
    <w:rsid w:val="00DD461D"/>
    <w:pPr>
      <w:spacing w:before="100" w:beforeAutospacing="1" w:after="100" w:afterAutospacing="1" w:line="240" w:lineRule="auto"/>
    </w:pPr>
    <w:rPr>
      <w:rFonts w:ascii="Tahoma" w:eastAsia="Times New Roman" w:hAnsi="Tahoma" w:cs="Tahoma"/>
      <w:b/>
      <w:bCs/>
      <w:sz w:val="16"/>
      <w:szCs w:val="16"/>
      <w:lang w:eastAsia="en-AU"/>
    </w:rPr>
  </w:style>
  <w:style w:type="paragraph" w:customStyle="1" w:styleId="xl179">
    <w:name w:val="xl179"/>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80">
    <w:name w:val="xl180"/>
    <w:basedOn w:val="Normal"/>
    <w:rsid w:val="00DD461D"/>
    <w:pPr>
      <w:spacing w:before="100" w:beforeAutospacing="1" w:after="100" w:afterAutospacing="1" w:line="240" w:lineRule="auto"/>
      <w:jc w:val="both"/>
    </w:pPr>
    <w:rPr>
      <w:rFonts w:ascii="Tahoma" w:eastAsia="Times New Roman" w:hAnsi="Tahoma" w:cs="Tahoma"/>
      <w:b/>
      <w:bCs/>
      <w:sz w:val="16"/>
      <w:szCs w:val="16"/>
      <w:lang w:eastAsia="en-AU"/>
    </w:rPr>
  </w:style>
  <w:style w:type="paragraph" w:customStyle="1" w:styleId="xl181">
    <w:name w:val="xl181"/>
    <w:basedOn w:val="Normal"/>
    <w:rsid w:val="00DD461D"/>
    <w:pPr>
      <w:shd w:val="clear" w:color="000000" w:fill="C0C0C0"/>
      <w:spacing w:before="100" w:beforeAutospacing="1" w:after="100" w:afterAutospacing="1" w:line="240" w:lineRule="auto"/>
      <w:jc w:val="right"/>
    </w:pPr>
    <w:rPr>
      <w:rFonts w:ascii="Tahoma" w:eastAsia="Times New Roman" w:hAnsi="Tahoma" w:cs="Tahoma"/>
      <w:b/>
      <w:bCs/>
      <w:sz w:val="16"/>
      <w:szCs w:val="16"/>
      <w:lang w:eastAsia="en-AU"/>
    </w:rPr>
  </w:style>
  <w:style w:type="paragraph" w:customStyle="1" w:styleId="xl182">
    <w:name w:val="xl182"/>
    <w:basedOn w:val="Normal"/>
    <w:rsid w:val="00DD461D"/>
    <w:pPr>
      <w:shd w:val="clear" w:color="000000" w:fill="C0C0C0"/>
      <w:spacing w:before="100" w:beforeAutospacing="1" w:after="100" w:afterAutospacing="1" w:line="240" w:lineRule="auto"/>
      <w:jc w:val="right"/>
    </w:pPr>
    <w:rPr>
      <w:rFonts w:ascii="Tahoma" w:eastAsia="Times New Roman" w:hAnsi="Tahoma" w:cs="Tahoma"/>
      <w:b/>
      <w:bCs/>
      <w:sz w:val="16"/>
      <w:szCs w:val="16"/>
      <w:lang w:eastAsia="en-AU"/>
    </w:rPr>
  </w:style>
  <w:style w:type="paragraph" w:customStyle="1" w:styleId="xl183">
    <w:name w:val="xl183"/>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84">
    <w:name w:val="xl184"/>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85">
    <w:name w:val="xl185"/>
    <w:basedOn w:val="Normal"/>
    <w:rsid w:val="00DD46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86">
    <w:name w:val="xl186"/>
    <w:basedOn w:val="Normal"/>
    <w:rsid w:val="00DD461D"/>
    <w:pPr>
      <w:pBdr>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87">
    <w:name w:val="xl187"/>
    <w:basedOn w:val="Normal"/>
    <w:rsid w:val="00DD46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88">
    <w:name w:val="xl188"/>
    <w:basedOn w:val="Normal"/>
    <w:rsid w:val="00DD461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89">
    <w:name w:val="xl189"/>
    <w:basedOn w:val="Normal"/>
    <w:rsid w:val="00DD461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90">
    <w:name w:val="xl190"/>
    <w:basedOn w:val="Normal"/>
    <w:rsid w:val="00DD46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91">
    <w:name w:val="xl191"/>
    <w:basedOn w:val="Normal"/>
    <w:rsid w:val="00DD461D"/>
    <w:pPr>
      <w:pBdr>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92">
    <w:name w:val="xl192"/>
    <w:basedOn w:val="Normal"/>
    <w:rsid w:val="00DD461D"/>
    <w:pPr>
      <w:spacing w:before="100" w:beforeAutospacing="1" w:after="100" w:afterAutospacing="1" w:line="240" w:lineRule="auto"/>
    </w:pPr>
    <w:rPr>
      <w:rFonts w:ascii="Tahoma" w:eastAsia="Times New Roman" w:hAnsi="Tahoma" w:cs="Tahoma"/>
      <w:sz w:val="16"/>
      <w:szCs w:val="16"/>
      <w:lang w:eastAsia="en-AU"/>
    </w:rPr>
  </w:style>
  <w:style w:type="paragraph" w:customStyle="1" w:styleId="xl193">
    <w:name w:val="xl193"/>
    <w:basedOn w:val="Normal"/>
    <w:rsid w:val="00DD46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94">
    <w:name w:val="xl194"/>
    <w:basedOn w:val="Normal"/>
    <w:rsid w:val="00DD461D"/>
    <w:pPr>
      <w:spacing w:before="100" w:beforeAutospacing="1" w:after="100" w:afterAutospacing="1" w:line="240" w:lineRule="auto"/>
      <w:textAlignment w:val="top"/>
    </w:pPr>
    <w:rPr>
      <w:rFonts w:ascii="Tahoma" w:eastAsia="Times New Roman" w:hAnsi="Tahoma" w:cs="Tahoma"/>
      <w:sz w:val="16"/>
      <w:szCs w:val="16"/>
      <w:lang w:eastAsia="en-AU"/>
    </w:rPr>
  </w:style>
  <w:style w:type="paragraph" w:customStyle="1" w:styleId="xl195">
    <w:name w:val="xl195"/>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96">
    <w:name w:val="xl196"/>
    <w:basedOn w:val="Normal"/>
    <w:rsid w:val="00DD461D"/>
    <w:pPr>
      <w:spacing w:before="100" w:beforeAutospacing="1" w:after="100" w:afterAutospacing="1" w:line="240" w:lineRule="auto"/>
      <w:jc w:val="both"/>
      <w:textAlignment w:val="top"/>
    </w:pPr>
    <w:rPr>
      <w:rFonts w:ascii="Tahoma" w:eastAsia="Times New Roman" w:hAnsi="Tahoma" w:cs="Tahoma"/>
      <w:sz w:val="16"/>
      <w:szCs w:val="16"/>
      <w:lang w:eastAsia="en-AU"/>
    </w:rPr>
  </w:style>
  <w:style w:type="paragraph" w:customStyle="1" w:styleId="xl197">
    <w:name w:val="xl197"/>
    <w:basedOn w:val="Normal"/>
    <w:rsid w:val="00DD461D"/>
    <w:pPr>
      <w:pBdr>
        <w:top w:val="single" w:sz="4" w:space="0" w:color="auto"/>
        <w:lef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98">
    <w:name w:val="xl198"/>
    <w:basedOn w:val="Normal"/>
    <w:rsid w:val="00DD461D"/>
    <w:pPr>
      <w:pBdr>
        <w:top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199">
    <w:name w:val="xl199"/>
    <w:basedOn w:val="Normal"/>
    <w:rsid w:val="00DD461D"/>
    <w:pPr>
      <w:pBdr>
        <w:top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200">
    <w:name w:val="xl200"/>
    <w:basedOn w:val="Normal"/>
    <w:rsid w:val="00DD461D"/>
    <w:pPr>
      <w:pBdr>
        <w:left w:val="single" w:sz="4" w:space="0" w:color="auto"/>
        <w:bottom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201">
    <w:name w:val="xl201"/>
    <w:basedOn w:val="Normal"/>
    <w:rsid w:val="00DD461D"/>
    <w:pPr>
      <w:pBdr>
        <w:bottom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202">
    <w:name w:val="xl202"/>
    <w:basedOn w:val="Normal"/>
    <w:rsid w:val="00DD461D"/>
    <w:pPr>
      <w:pBdr>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xl203">
    <w:name w:val="xl203"/>
    <w:basedOn w:val="Normal"/>
    <w:rsid w:val="00DD461D"/>
    <w:pPr>
      <w:spacing w:before="100" w:beforeAutospacing="1" w:after="100" w:afterAutospacing="1" w:line="240" w:lineRule="auto"/>
      <w:jc w:val="center"/>
      <w:textAlignment w:val="top"/>
    </w:pPr>
    <w:rPr>
      <w:rFonts w:ascii="Tahoma" w:eastAsia="Times New Roman" w:hAnsi="Tahoma" w:cs="Tahoma"/>
      <w:sz w:val="16"/>
      <w:szCs w:val="16"/>
      <w:lang w:eastAsia="en-AU"/>
    </w:rPr>
  </w:style>
  <w:style w:type="paragraph" w:customStyle="1" w:styleId="Heading5-black">
    <w:name w:val="Heading 5 - black"/>
    <w:basedOn w:val="Heading5"/>
    <w:uiPriority w:val="9"/>
    <w:qFormat/>
    <w:rsid w:val="00DD461D"/>
    <w:pPr>
      <w:spacing w:before="240"/>
    </w:pPr>
    <w:rPr>
      <w:rFonts w:asciiTheme="minorHAnsi" w:hAnsiTheme="minorHAnsi"/>
      <w:b/>
      <w:color w:val="auto"/>
      <w:sz w:val="18"/>
    </w:rPr>
  </w:style>
  <w:style w:type="paragraph" w:styleId="Title">
    <w:name w:val="Title"/>
    <w:basedOn w:val="Normal"/>
    <w:next w:val="Normal"/>
    <w:link w:val="TitleChar"/>
    <w:uiPriority w:val="19"/>
    <w:qFormat/>
    <w:rsid w:val="0074214F"/>
    <w:pPr>
      <w:pBdr>
        <w:bottom w:val="single" w:sz="8" w:space="4" w:color="5B9BD5"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9"/>
    <w:rsid w:val="0074214F"/>
    <w:rPr>
      <w:rFonts w:asciiTheme="majorHAnsi" w:eastAsiaTheme="majorEastAsia" w:hAnsiTheme="majorHAnsi" w:cstheme="majorBidi"/>
      <w:color w:val="323E4F" w:themeColor="text2" w:themeShade="BF"/>
      <w:spacing w:val="5"/>
      <w:kern w:val="28"/>
      <w:sz w:val="52"/>
      <w:szCs w:val="52"/>
    </w:rPr>
  </w:style>
  <w:style w:type="paragraph" w:customStyle="1" w:styleId="Heading3-nospaceabove">
    <w:name w:val="Heading 3 - no space above"/>
    <w:basedOn w:val="Heading3"/>
    <w:uiPriority w:val="9"/>
    <w:qFormat/>
    <w:rsid w:val="00D701CC"/>
    <w:pPr>
      <w:spacing w:before="0"/>
    </w:pPr>
  </w:style>
  <w:style w:type="paragraph" w:customStyle="1" w:styleId="Heading2-spaceabove">
    <w:name w:val="Heading 2 - space above"/>
    <w:basedOn w:val="Heading2"/>
    <w:uiPriority w:val="9"/>
    <w:qFormat/>
    <w:rsid w:val="00927C3A"/>
    <w:pPr>
      <w:spacing w:before="170"/>
    </w:pPr>
  </w:style>
  <w:style w:type="paragraph" w:customStyle="1" w:styleId="Heading4-nospaceabove">
    <w:name w:val="Heading 4 - no space above"/>
    <w:basedOn w:val="Heading4"/>
    <w:uiPriority w:val="9"/>
    <w:qFormat/>
    <w:rsid w:val="005C6F91"/>
    <w:pPr>
      <w:spacing w:before="0"/>
    </w:pPr>
  </w:style>
  <w:style w:type="paragraph" w:styleId="Quote">
    <w:name w:val="Quote"/>
    <w:basedOn w:val="Normal"/>
    <w:next w:val="Normal"/>
    <w:link w:val="QuoteChar"/>
    <w:uiPriority w:val="99"/>
    <w:qFormat/>
    <w:rsid w:val="00F653F7"/>
    <w:rPr>
      <w:i/>
      <w:iCs/>
      <w:color w:val="000000" w:themeColor="text1"/>
    </w:rPr>
  </w:style>
  <w:style w:type="character" w:customStyle="1" w:styleId="QuoteChar">
    <w:name w:val="Quote Char"/>
    <w:basedOn w:val="DefaultParagraphFont"/>
    <w:link w:val="Quote"/>
    <w:uiPriority w:val="99"/>
    <w:rsid w:val="00F653F7"/>
    <w:rPr>
      <w:i/>
      <w:iCs/>
      <w:color w:val="000000" w:themeColor="text1"/>
      <w:sz w:val="20"/>
    </w:rPr>
  </w:style>
  <w:style w:type="character" w:styleId="FollowedHyperlink">
    <w:name w:val="FollowedHyperlink"/>
    <w:basedOn w:val="DefaultParagraphFont"/>
    <w:uiPriority w:val="99"/>
    <w:semiHidden/>
    <w:unhideWhenUsed/>
    <w:rsid w:val="00E37F5E"/>
    <w:rPr>
      <w:color w:val="954F72" w:themeColor="followedHyperlink"/>
      <w:u w:val="single"/>
    </w:rPr>
  </w:style>
  <w:style w:type="paragraph" w:customStyle="1" w:styleId="TableNote">
    <w:name w:val="Table Note"/>
    <w:basedOn w:val="Normal"/>
    <w:uiPriority w:val="7"/>
    <w:qFormat/>
    <w:rsid w:val="00A92AFD"/>
    <w:pPr>
      <w:keepLines/>
      <w:spacing w:before="60" w:after="60" w:line="240" w:lineRule="auto"/>
      <w:jc w:val="both"/>
    </w:pPr>
    <w:rPr>
      <w:rFonts w:ascii="Calibri" w:eastAsia="Times New Roman" w:hAnsi="Calibri"/>
      <w:i/>
      <w:sz w:val="18"/>
      <w:szCs w:val="20"/>
    </w:rPr>
  </w:style>
  <w:style w:type="character" w:customStyle="1" w:styleId="Bold0">
    <w:name w:val="Bold"/>
    <w:basedOn w:val="DefaultParagraphFont"/>
    <w:uiPriority w:val="1"/>
    <w:qFormat/>
    <w:rsid w:val="00A92AFD"/>
    <w:rPr>
      <w:b/>
    </w:rPr>
  </w:style>
  <w:style w:type="paragraph" w:styleId="TOCHeading">
    <w:name w:val="TOC Heading"/>
    <w:basedOn w:val="Heading1"/>
    <w:next w:val="Normal"/>
    <w:uiPriority w:val="99"/>
    <w:unhideWhenUsed/>
    <w:qFormat/>
    <w:rsid w:val="008A7BD9"/>
    <w:pPr>
      <w:pBdr>
        <w:bottom w:val="none" w:sz="0" w:space="0" w:color="auto"/>
      </w:pBdr>
      <w:spacing w:before="240" w:after="0" w:line="259" w:lineRule="auto"/>
      <w:outlineLvl w:val="9"/>
    </w:pPr>
    <w:rPr>
      <w:rFonts w:asciiTheme="majorHAnsi" w:hAnsiTheme="majorHAnsi"/>
      <w:caps/>
      <w:color w:val="2E74B5" w:themeColor="accent1" w:themeShade="BF"/>
      <w:sz w:val="32"/>
      <w:szCs w:val="32"/>
      <w:lang w:val="en-US"/>
    </w:rPr>
  </w:style>
  <w:style w:type="paragraph" w:styleId="TOC3">
    <w:name w:val="toc 3"/>
    <w:basedOn w:val="Normal"/>
    <w:next w:val="Normal"/>
    <w:autoRedefine/>
    <w:uiPriority w:val="39"/>
    <w:unhideWhenUsed/>
    <w:rsid w:val="008A7BD9"/>
    <w:pPr>
      <w:spacing w:after="100"/>
      <w:ind w:left="400"/>
    </w:pPr>
  </w:style>
  <w:style w:type="paragraph" w:customStyle="1" w:styleId="TableList">
    <w:name w:val="Table List"/>
    <w:basedOn w:val="Normal"/>
    <w:uiPriority w:val="7"/>
    <w:qFormat/>
    <w:rsid w:val="003D61F1"/>
    <w:pPr>
      <w:keepNext/>
      <w:keepLines/>
      <w:numPr>
        <w:numId w:val="4"/>
      </w:numPr>
      <w:spacing w:before="120" w:after="120" w:line="240" w:lineRule="auto"/>
    </w:pPr>
    <w:rPr>
      <w:rFonts w:ascii="Calibri" w:eastAsia="Times New Roman" w:hAnsi="Calibri"/>
      <w:sz w:val="18"/>
      <w:szCs w:val="18"/>
    </w:rPr>
  </w:style>
  <w:style w:type="paragraph" w:customStyle="1" w:styleId="DecisionHeading">
    <w:name w:val="Decision Heading"/>
    <w:next w:val="Normal"/>
    <w:uiPriority w:val="3"/>
    <w:qFormat/>
    <w:rsid w:val="003D61F1"/>
    <w:pPr>
      <w:keepNext/>
      <w:spacing w:before="120" w:after="0" w:line="240" w:lineRule="auto"/>
    </w:pPr>
    <w:rPr>
      <w:rFonts w:ascii="Calibri" w:eastAsia="Times New Roman" w:hAnsi="Calibri"/>
      <w:color w:val="5B9BD5" w:themeColor="accent1"/>
      <w:sz w:val="26"/>
    </w:rPr>
  </w:style>
  <w:style w:type="character" w:customStyle="1" w:styleId="Heading6Char">
    <w:name w:val="Heading 6 Char"/>
    <w:basedOn w:val="DefaultParagraphFont"/>
    <w:link w:val="Heading6"/>
    <w:uiPriority w:val="1"/>
    <w:rsid w:val="00133C9F"/>
    <w:rPr>
      <w:rFonts w:asciiTheme="majorHAnsi" w:eastAsiaTheme="majorEastAsia" w:hAnsiTheme="majorHAnsi" w:cstheme="majorBidi"/>
      <w:bCs/>
      <w:color w:val="00A1E4"/>
      <w:sz w:val="18"/>
    </w:rPr>
  </w:style>
  <w:style w:type="character" w:customStyle="1" w:styleId="Heading7Char">
    <w:name w:val="Heading 7 Char"/>
    <w:basedOn w:val="DefaultParagraphFont"/>
    <w:link w:val="Heading7"/>
    <w:uiPriority w:val="99"/>
    <w:semiHidden/>
    <w:rsid w:val="00133C9F"/>
    <w:rPr>
      <w:rFonts w:asciiTheme="majorHAnsi" w:eastAsiaTheme="majorEastAsia" w:hAnsiTheme="majorHAnsi" w:cstheme="majorBidi"/>
      <w:bCs/>
      <w:iCs/>
      <w:color w:val="00A1E4"/>
      <w:sz w:val="18"/>
    </w:rPr>
  </w:style>
  <w:style w:type="character" w:customStyle="1" w:styleId="Heading8Char">
    <w:name w:val="Heading 8 Char"/>
    <w:basedOn w:val="DefaultParagraphFont"/>
    <w:link w:val="Heading8"/>
    <w:uiPriority w:val="99"/>
    <w:semiHidden/>
    <w:rsid w:val="00133C9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133C9F"/>
    <w:rPr>
      <w:rFonts w:asciiTheme="majorHAnsi" w:eastAsiaTheme="majorEastAsia" w:hAnsiTheme="majorHAnsi" w:cstheme="majorBidi"/>
      <w:i/>
      <w:iCs/>
      <w:color w:val="404040" w:themeColor="text1" w:themeTint="BF"/>
      <w:sz w:val="20"/>
      <w:szCs w:val="20"/>
    </w:rPr>
  </w:style>
  <w:style w:type="paragraph" w:customStyle="1" w:styleId="ListNumberIndent0">
    <w:name w:val="List Number Indent"/>
    <w:basedOn w:val="ListNumber0"/>
    <w:uiPriority w:val="1"/>
    <w:rsid w:val="00133C9F"/>
    <w:pPr>
      <w:numPr>
        <w:numId w:val="23"/>
      </w:numPr>
    </w:pPr>
  </w:style>
  <w:style w:type="paragraph" w:styleId="TOC4">
    <w:name w:val="toc 4"/>
    <w:basedOn w:val="TOC1"/>
    <w:next w:val="Normal"/>
    <w:uiPriority w:val="39"/>
    <w:rsid w:val="00133C9F"/>
    <w:pPr>
      <w:tabs>
        <w:tab w:val="clear" w:pos="4253"/>
        <w:tab w:val="clear" w:pos="6623"/>
        <w:tab w:val="left" w:pos="851"/>
        <w:tab w:val="right" w:pos="9072"/>
      </w:tabs>
      <w:spacing w:before="240" w:line="240" w:lineRule="auto"/>
      <w:ind w:left="851" w:right="567" w:hanging="851"/>
    </w:pPr>
    <w:rPr>
      <w:rFonts w:eastAsia="Times New Roman"/>
      <w:b w:val="0"/>
      <w:sz w:val="21"/>
    </w:rPr>
  </w:style>
  <w:style w:type="paragraph" w:styleId="TOC5">
    <w:name w:val="toc 5"/>
    <w:basedOn w:val="TOC2"/>
    <w:next w:val="Normal"/>
    <w:uiPriority w:val="39"/>
    <w:rsid w:val="00133C9F"/>
    <w:pPr>
      <w:tabs>
        <w:tab w:val="clear" w:pos="7088"/>
        <w:tab w:val="clear" w:pos="9214"/>
        <w:tab w:val="left" w:pos="851"/>
        <w:tab w:val="right" w:pos="9072"/>
      </w:tabs>
      <w:spacing w:before="60" w:after="60" w:line="240" w:lineRule="auto"/>
      <w:ind w:left="851" w:right="567" w:hanging="851"/>
    </w:pPr>
    <w:rPr>
      <w:rFonts w:eastAsia="Times New Roman"/>
      <w:sz w:val="21"/>
      <w:szCs w:val="20"/>
    </w:rPr>
  </w:style>
  <w:style w:type="paragraph" w:styleId="TOC6">
    <w:name w:val="toc 6"/>
    <w:basedOn w:val="TOC3"/>
    <w:next w:val="Normal"/>
    <w:uiPriority w:val="39"/>
    <w:rsid w:val="00133C9F"/>
    <w:pPr>
      <w:tabs>
        <w:tab w:val="left" w:pos="1701"/>
        <w:tab w:val="right" w:pos="9072"/>
      </w:tabs>
      <w:spacing w:before="60" w:after="60" w:line="240" w:lineRule="auto"/>
      <w:ind w:left="851" w:right="567"/>
    </w:pPr>
    <w:rPr>
      <w:rFonts w:eastAsia="Times New Roman"/>
      <w:noProof/>
      <w:sz w:val="21"/>
      <w:szCs w:val="20"/>
    </w:rPr>
  </w:style>
  <w:style w:type="paragraph" w:styleId="TOC7">
    <w:name w:val="toc 7"/>
    <w:basedOn w:val="Normal"/>
    <w:next w:val="Normal"/>
    <w:uiPriority w:val="99"/>
    <w:semiHidden/>
    <w:rsid w:val="00133C9F"/>
    <w:pPr>
      <w:spacing w:before="0" w:after="0" w:line="240" w:lineRule="auto"/>
      <w:ind w:left="1320"/>
    </w:pPr>
    <w:rPr>
      <w:rFonts w:ascii="Calibri" w:eastAsia="Times New Roman" w:hAnsi="Calibri"/>
      <w:sz w:val="21"/>
      <w:szCs w:val="20"/>
    </w:rPr>
  </w:style>
  <w:style w:type="paragraph" w:styleId="TOC8">
    <w:name w:val="toc 8"/>
    <w:basedOn w:val="Normal"/>
    <w:next w:val="Normal"/>
    <w:uiPriority w:val="99"/>
    <w:semiHidden/>
    <w:rsid w:val="00133C9F"/>
    <w:pPr>
      <w:spacing w:before="0" w:after="0" w:line="240" w:lineRule="auto"/>
      <w:ind w:left="1540"/>
    </w:pPr>
    <w:rPr>
      <w:rFonts w:ascii="Calibri" w:eastAsia="Times New Roman" w:hAnsi="Calibri"/>
      <w:sz w:val="21"/>
      <w:szCs w:val="20"/>
    </w:rPr>
  </w:style>
  <w:style w:type="paragraph" w:styleId="TOC9">
    <w:name w:val="toc 9"/>
    <w:basedOn w:val="Normal"/>
    <w:next w:val="Normal"/>
    <w:uiPriority w:val="99"/>
    <w:semiHidden/>
    <w:rsid w:val="00133C9F"/>
    <w:pPr>
      <w:spacing w:before="0" w:after="0" w:line="240" w:lineRule="auto"/>
      <w:ind w:left="1760"/>
    </w:pPr>
    <w:rPr>
      <w:rFonts w:ascii="Calibri" w:eastAsia="Times New Roman" w:hAnsi="Calibri"/>
      <w:sz w:val="21"/>
      <w:szCs w:val="20"/>
    </w:rPr>
  </w:style>
  <w:style w:type="paragraph" w:customStyle="1" w:styleId="StyleBodyTextIndentLeft05cmAfter12pt">
    <w:name w:val="Style Body Text Indent + Left:  0.5 cm After:  12 pt"/>
    <w:basedOn w:val="BodyTextIndent"/>
    <w:uiPriority w:val="99"/>
    <w:semiHidden/>
    <w:locked/>
    <w:rsid w:val="00133C9F"/>
    <w:pPr>
      <w:spacing w:before="120" w:line="264" w:lineRule="auto"/>
      <w:ind w:left="284"/>
      <w:jc w:val="both"/>
    </w:pPr>
    <w:rPr>
      <w:rFonts w:ascii="Calibri" w:eastAsia="Times New Roman" w:hAnsi="Calibri"/>
      <w:sz w:val="21"/>
      <w:szCs w:val="20"/>
    </w:rPr>
  </w:style>
  <w:style w:type="paragraph" w:customStyle="1" w:styleId="Introduction">
    <w:name w:val="Introduction"/>
    <w:basedOn w:val="BodyTextIndent"/>
    <w:uiPriority w:val="1"/>
    <w:qFormat/>
    <w:rsid w:val="00133C9F"/>
    <w:pPr>
      <w:spacing w:before="120" w:line="264" w:lineRule="auto"/>
      <w:ind w:left="0"/>
      <w:jc w:val="both"/>
    </w:pPr>
    <w:rPr>
      <w:rFonts w:ascii="Calibri" w:eastAsia="Times New Roman" w:hAnsi="Calibri"/>
      <w:i/>
      <w:sz w:val="21"/>
      <w:szCs w:val="20"/>
    </w:rPr>
  </w:style>
  <w:style w:type="paragraph" w:styleId="ListNumber0">
    <w:name w:val="List Number"/>
    <w:basedOn w:val="Normal"/>
    <w:uiPriority w:val="1"/>
    <w:qFormat/>
    <w:rsid w:val="00133C9F"/>
    <w:pPr>
      <w:numPr>
        <w:numId w:val="9"/>
      </w:numPr>
      <w:spacing w:before="120" w:after="120" w:line="264" w:lineRule="auto"/>
    </w:pPr>
    <w:rPr>
      <w:rFonts w:ascii="Calibri" w:eastAsia="Times New Roman" w:hAnsi="Calibri"/>
      <w:sz w:val="21"/>
      <w:szCs w:val="20"/>
    </w:rPr>
  </w:style>
  <w:style w:type="paragraph" w:customStyle="1" w:styleId="ListAlpha0">
    <w:name w:val="List Alpha"/>
    <w:basedOn w:val="ListNumber0"/>
    <w:uiPriority w:val="2"/>
    <w:qFormat/>
    <w:rsid w:val="00133C9F"/>
    <w:pPr>
      <w:numPr>
        <w:numId w:val="17"/>
      </w:numPr>
    </w:pPr>
  </w:style>
  <w:style w:type="paragraph" w:customStyle="1" w:styleId="TableHeading1">
    <w:name w:val="Table Heading 1"/>
    <w:basedOn w:val="TableText"/>
    <w:uiPriority w:val="4"/>
    <w:qFormat/>
    <w:rsid w:val="00133C9F"/>
    <w:pPr>
      <w:jc w:val="center"/>
    </w:pPr>
    <w:rPr>
      <w:b/>
      <w:i/>
    </w:rPr>
  </w:style>
  <w:style w:type="paragraph" w:customStyle="1" w:styleId="BulletIndent">
    <w:name w:val="Bullet Indent"/>
    <w:basedOn w:val="Normal"/>
    <w:uiPriority w:val="99"/>
    <w:semiHidden/>
    <w:locked/>
    <w:rsid w:val="00133C9F"/>
    <w:pPr>
      <w:spacing w:before="0" w:after="0" w:line="240" w:lineRule="auto"/>
      <w:ind w:left="1134"/>
    </w:pPr>
    <w:rPr>
      <w:rFonts w:ascii="Calibri" w:eastAsia="Times New Roman" w:hAnsi="Calibri"/>
      <w:sz w:val="21"/>
      <w:szCs w:val="20"/>
    </w:rPr>
  </w:style>
  <w:style w:type="paragraph" w:customStyle="1" w:styleId="Quotation">
    <w:name w:val="Quotation"/>
    <w:basedOn w:val="BodyTextIndent"/>
    <w:uiPriority w:val="11"/>
    <w:qFormat/>
    <w:rsid w:val="00133C9F"/>
    <w:pPr>
      <w:spacing w:before="120" w:line="264" w:lineRule="auto"/>
      <w:ind w:left="1418" w:right="567"/>
      <w:jc w:val="both"/>
    </w:pPr>
    <w:rPr>
      <w:rFonts w:ascii="Calibri" w:eastAsia="Times New Roman" w:hAnsi="Calibri"/>
      <w:i/>
      <w:sz w:val="18"/>
      <w:szCs w:val="20"/>
    </w:rPr>
  </w:style>
  <w:style w:type="paragraph" w:styleId="Subtitle">
    <w:name w:val="Subtitle"/>
    <w:basedOn w:val="Normal"/>
    <w:next w:val="Normal"/>
    <w:link w:val="SubtitleChar"/>
    <w:uiPriority w:val="20"/>
    <w:rsid w:val="00133C9F"/>
    <w:pPr>
      <w:numPr>
        <w:ilvl w:val="1"/>
      </w:numPr>
      <w:spacing w:before="120" w:after="240" w:line="240" w:lineRule="auto"/>
    </w:pPr>
    <w:rPr>
      <w:rFonts w:asciiTheme="majorHAnsi" w:eastAsiaTheme="majorEastAsia" w:hAnsiTheme="majorHAnsi" w:cstheme="majorBidi"/>
      <w:iCs/>
      <w:color w:val="00A1E4"/>
      <w:sz w:val="28"/>
      <w:szCs w:val="24"/>
    </w:rPr>
  </w:style>
  <w:style w:type="character" w:customStyle="1" w:styleId="SubtitleChar">
    <w:name w:val="Subtitle Char"/>
    <w:basedOn w:val="DefaultParagraphFont"/>
    <w:link w:val="Subtitle"/>
    <w:uiPriority w:val="20"/>
    <w:rsid w:val="00133C9F"/>
    <w:rPr>
      <w:rFonts w:asciiTheme="majorHAnsi" w:eastAsiaTheme="majorEastAsia" w:hAnsiTheme="majorHAnsi" w:cstheme="majorBidi"/>
      <w:iCs/>
      <w:color w:val="00A1E4"/>
      <w:sz w:val="28"/>
      <w:szCs w:val="24"/>
    </w:rPr>
  </w:style>
  <w:style w:type="character" w:styleId="Strong">
    <w:name w:val="Strong"/>
    <w:uiPriority w:val="14"/>
    <w:rsid w:val="00133C9F"/>
    <w:rPr>
      <w:b/>
      <w:bCs/>
    </w:rPr>
  </w:style>
  <w:style w:type="character" w:styleId="Emphasis">
    <w:name w:val="Emphasis"/>
    <w:uiPriority w:val="14"/>
    <w:rsid w:val="00133C9F"/>
    <w:rPr>
      <w:i/>
      <w:iCs/>
    </w:rPr>
  </w:style>
  <w:style w:type="paragraph" w:styleId="NoSpacing">
    <w:name w:val="No Spacing"/>
    <w:basedOn w:val="Normal"/>
    <w:uiPriority w:val="99"/>
    <w:semiHidden/>
    <w:rsid w:val="00133C9F"/>
    <w:pPr>
      <w:spacing w:before="0" w:after="0" w:line="264" w:lineRule="auto"/>
    </w:pPr>
    <w:rPr>
      <w:rFonts w:ascii="Calibri" w:eastAsia="Times New Roman" w:hAnsi="Calibri"/>
      <w:sz w:val="21"/>
      <w:szCs w:val="20"/>
    </w:rPr>
  </w:style>
  <w:style w:type="character" w:styleId="SubtleReference">
    <w:name w:val="Subtle Reference"/>
    <w:uiPriority w:val="99"/>
    <w:rsid w:val="00133C9F"/>
    <w:rPr>
      <w:smallCaps/>
      <w:color w:val="ED7D31" w:themeColor="accent2"/>
      <w:u w:val="single"/>
    </w:rPr>
  </w:style>
  <w:style w:type="character" w:styleId="BookTitle">
    <w:name w:val="Book Title"/>
    <w:uiPriority w:val="99"/>
    <w:rsid w:val="00133C9F"/>
    <w:rPr>
      <w:b/>
      <w:bCs/>
      <w:smallCaps/>
      <w:spacing w:val="5"/>
    </w:rPr>
  </w:style>
  <w:style w:type="paragraph" w:styleId="Bibliography">
    <w:name w:val="Bibliography"/>
    <w:basedOn w:val="Normal"/>
    <w:next w:val="Normal"/>
    <w:uiPriority w:val="99"/>
    <w:semiHidden/>
    <w:rsid w:val="00133C9F"/>
    <w:pPr>
      <w:spacing w:before="0" w:after="240" w:line="240" w:lineRule="auto"/>
    </w:pPr>
    <w:rPr>
      <w:rFonts w:ascii="Calibri" w:eastAsia="Times New Roman" w:hAnsi="Calibri"/>
      <w:sz w:val="21"/>
      <w:szCs w:val="20"/>
    </w:rPr>
  </w:style>
  <w:style w:type="numbering" w:customStyle="1" w:styleId="ListAlpha">
    <w:name w:val="List_Alpha"/>
    <w:uiPriority w:val="99"/>
    <w:rsid w:val="00133C9F"/>
    <w:pPr>
      <w:numPr>
        <w:numId w:val="17"/>
      </w:numPr>
    </w:pPr>
  </w:style>
  <w:style w:type="paragraph" w:customStyle="1" w:styleId="ListAlphaIndent0">
    <w:name w:val="List Alpha Indent"/>
    <w:basedOn w:val="ListAlpha0"/>
    <w:uiPriority w:val="2"/>
    <w:rsid w:val="00133C9F"/>
    <w:pPr>
      <w:numPr>
        <w:numId w:val="21"/>
      </w:numPr>
    </w:pPr>
  </w:style>
  <w:style w:type="paragraph" w:customStyle="1" w:styleId="QuotationListAlpha">
    <w:name w:val="Quotation List Alpha"/>
    <w:basedOn w:val="Quotation"/>
    <w:uiPriority w:val="11"/>
    <w:qFormat/>
    <w:rsid w:val="00133C9F"/>
    <w:pPr>
      <w:numPr>
        <w:numId w:val="11"/>
      </w:numPr>
    </w:pPr>
  </w:style>
  <w:style w:type="table" w:styleId="TableGrid1">
    <w:name w:val="Table Grid 1"/>
    <w:basedOn w:val="TableNormal"/>
    <w:rsid w:val="00133C9F"/>
    <w:pPr>
      <w:spacing w:after="0" w:line="240" w:lineRule="auto"/>
    </w:pPr>
    <w:rPr>
      <w:rFonts w:eastAsia="Times New Roman"/>
    </w:rPr>
    <w:tblP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7"/>
    <w:qFormat/>
    <w:rsid w:val="00133C9F"/>
    <w:pPr>
      <w:spacing w:before="80" w:after="80" w:line="240" w:lineRule="auto"/>
    </w:pPr>
    <w:rPr>
      <w:rFonts w:ascii="Calibri" w:eastAsia="Times New Roman" w:hAnsi="Calibri"/>
      <w:sz w:val="18"/>
      <w:szCs w:val="20"/>
    </w:rPr>
  </w:style>
  <w:style w:type="paragraph" w:customStyle="1" w:styleId="DecisionBullet">
    <w:name w:val="Decision Bullet"/>
    <w:basedOn w:val="Normal"/>
    <w:uiPriority w:val="3"/>
    <w:qFormat/>
    <w:rsid w:val="00133C9F"/>
    <w:pPr>
      <w:keepNext/>
      <w:numPr>
        <w:numId w:val="15"/>
      </w:numPr>
      <w:spacing w:before="60" w:after="60" w:line="240" w:lineRule="auto"/>
      <w:jc w:val="both"/>
    </w:pPr>
    <w:rPr>
      <w:rFonts w:ascii="Calibri" w:eastAsia="Times New Roman" w:hAnsi="Calibri"/>
      <w:b/>
      <w:sz w:val="21"/>
    </w:rPr>
  </w:style>
  <w:style w:type="paragraph" w:customStyle="1" w:styleId="DecisionList1">
    <w:name w:val="Decision List 1"/>
    <w:basedOn w:val="ListParagraph0"/>
    <w:uiPriority w:val="4"/>
    <w:qFormat/>
    <w:rsid w:val="00133C9F"/>
    <w:pPr>
      <w:numPr>
        <w:ilvl w:val="4"/>
        <w:numId w:val="19"/>
      </w:numPr>
      <w:spacing w:before="60" w:after="60" w:line="264" w:lineRule="auto"/>
      <w:contextualSpacing w:val="0"/>
    </w:pPr>
    <w:rPr>
      <w:rFonts w:ascii="Calibri" w:eastAsia="Times New Roman" w:hAnsi="Calibri"/>
      <w:b/>
      <w:sz w:val="21"/>
      <w:szCs w:val="20"/>
    </w:rPr>
  </w:style>
  <w:style w:type="paragraph" w:customStyle="1" w:styleId="DecisionList2">
    <w:name w:val="Decision List 2"/>
    <w:basedOn w:val="ListParagraph0"/>
    <w:uiPriority w:val="4"/>
    <w:qFormat/>
    <w:rsid w:val="00133C9F"/>
    <w:pPr>
      <w:numPr>
        <w:ilvl w:val="5"/>
        <w:numId w:val="19"/>
      </w:numPr>
      <w:spacing w:before="60" w:after="60" w:line="264" w:lineRule="auto"/>
      <w:contextualSpacing w:val="0"/>
    </w:pPr>
    <w:rPr>
      <w:rFonts w:ascii="Calibri" w:eastAsia="Times New Roman" w:hAnsi="Calibri"/>
      <w:b/>
      <w:sz w:val="21"/>
      <w:szCs w:val="20"/>
    </w:rPr>
  </w:style>
  <w:style w:type="numbering" w:customStyle="1" w:styleId="ListAlphaIndent">
    <w:name w:val="ListAlphaIndent"/>
    <w:uiPriority w:val="99"/>
    <w:rsid w:val="00133C9F"/>
    <w:pPr>
      <w:numPr>
        <w:numId w:val="21"/>
      </w:numPr>
    </w:pPr>
  </w:style>
  <w:style w:type="table" w:customStyle="1" w:styleId="Decision">
    <w:name w:val="Decision"/>
    <w:basedOn w:val="TableNormal"/>
    <w:uiPriority w:val="99"/>
    <w:qFormat/>
    <w:rsid w:val="00133C9F"/>
    <w:pPr>
      <w:spacing w:after="0" w:line="240" w:lineRule="auto"/>
    </w:pPr>
    <w:rPr>
      <w:rFonts w:eastAsia="Times New Roman"/>
    </w:rPr>
    <w:tblPr>
      <w:tblInd w:w="958" w:type="dxa"/>
      <w:tblBorders>
        <w:top w:val="single" w:sz="4" w:space="0" w:color="878787"/>
        <w:left w:val="single" w:sz="4" w:space="0" w:color="878787"/>
        <w:bottom w:val="single" w:sz="4" w:space="0" w:color="878787"/>
        <w:right w:val="single" w:sz="4" w:space="0" w:color="878787"/>
      </w:tblBorders>
      <w:tblCellMar>
        <w:bottom w:w="113" w:type="dxa"/>
      </w:tblCellMar>
    </w:tblPr>
    <w:tcPr>
      <w:shd w:val="clear" w:color="auto" w:fill="F2F2F2" w:themeFill="background1" w:themeFillShade="F2"/>
    </w:tcPr>
    <w:tblStylePr w:type="firstRow">
      <w:tblPr>
        <w:tblCellMar>
          <w:top w:w="0" w:type="dxa"/>
          <w:left w:w="113" w:type="dxa"/>
          <w:bottom w:w="113" w:type="dxa"/>
          <w:right w:w="113" w:type="dxa"/>
        </w:tblCellMar>
      </w:tblPr>
    </w:tblStylePr>
  </w:style>
  <w:style w:type="paragraph" w:customStyle="1" w:styleId="AppendixHeading">
    <w:name w:val="Appendix Heading"/>
    <w:basedOn w:val="Heading1"/>
    <w:next w:val="BodyText"/>
    <w:uiPriority w:val="9"/>
    <w:qFormat/>
    <w:rsid w:val="00133C9F"/>
    <w:pPr>
      <w:pageBreakBefore/>
      <w:numPr>
        <w:numId w:val="14"/>
      </w:numPr>
      <w:pBdr>
        <w:top w:val="single" w:sz="4" w:space="6" w:color="00B0F0"/>
        <w:bottom w:val="single" w:sz="4" w:space="2" w:color="00B0F0"/>
      </w:pBdr>
      <w:spacing w:after="360" w:line="312" w:lineRule="auto"/>
    </w:pPr>
    <w:rPr>
      <w:rFonts w:asciiTheme="majorHAnsi" w:hAnsiTheme="majorHAnsi"/>
      <w:kern w:val="28"/>
      <w:sz w:val="32"/>
      <w:szCs w:val="20"/>
    </w:rPr>
  </w:style>
  <w:style w:type="numbering" w:customStyle="1" w:styleId="Appendix">
    <w:name w:val="Appendix"/>
    <w:uiPriority w:val="99"/>
    <w:locked/>
    <w:rsid w:val="00133C9F"/>
    <w:pPr>
      <w:numPr>
        <w:numId w:val="6"/>
      </w:numPr>
    </w:pPr>
  </w:style>
  <w:style w:type="paragraph" w:styleId="BlockText">
    <w:name w:val="Block Text"/>
    <w:basedOn w:val="Normal"/>
    <w:uiPriority w:val="99"/>
    <w:semiHidden/>
    <w:rsid w:val="00133C9F"/>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spacing w:before="0" w:after="0" w:line="240" w:lineRule="auto"/>
      <w:ind w:left="1152" w:right="1152"/>
    </w:pPr>
    <w:rPr>
      <w:rFonts w:eastAsiaTheme="minorEastAsia"/>
      <w:i/>
      <w:iCs/>
      <w:color w:val="5B9BD5" w:themeColor="accent1"/>
      <w:sz w:val="21"/>
      <w:szCs w:val="20"/>
    </w:rPr>
  </w:style>
  <w:style w:type="paragraph" w:customStyle="1" w:styleId="TableBullet0">
    <w:name w:val="Table Bullet"/>
    <w:basedOn w:val="TableText"/>
    <w:uiPriority w:val="7"/>
    <w:qFormat/>
    <w:rsid w:val="00133C9F"/>
    <w:pPr>
      <w:numPr>
        <w:numId w:val="7"/>
      </w:numPr>
    </w:pPr>
  </w:style>
  <w:style w:type="numbering" w:customStyle="1" w:styleId="Style1">
    <w:name w:val="Style1"/>
    <w:uiPriority w:val="99"/>
    <w:locked/>
    <w:rsid w:val="00133C9F"/>
    <w:pPr>
      <w:numPr>
        <w:numId w:val="5"/>
      </w:numPr>
    </w:pPr>
  </w:style>
  <w:style w:type="character" w:styleId="PlaceholderText">
    <w:name w:val="Placeholder Text"/>
    <w:basedOn w:val="DefaultParagraphFont"/>
    <w:uiPriority w:val="99"/>
    <w:semiHidden/>
    <w:rsid w:val="00133C9F"/>
    <w:rPr>
      <w:color w:val="808080"/>
    </w:rPr>
  </w:style>
  <w:style w:type="paragraph" w:customStyle="1" w:styleId="Coveraddress">
    <w:name w:val="Cover address"/>
    <w:basedOn w:val="Normal"/>
    <w:uiPriority w:val="99"/>
    <w:semiHidden/>
    <w:unhideWhenUsed/>
    <w:locked/>
    <w:rsid w:val="00133C9F"/>
    <w:pPr>
      <w:spacing w:before="0" w:after="0" w:line="240" w:lineRule="auto"/>
      <w:jc w:val="center"/>
    </w:pPr>
    <w:rPr>
      <w:rFonts w:ascii="Arial" w:eastAsia="Times New Roman" w:hAnsi="Arial" w:cs="Arial"/>
      <w:sz w:val="18"/>
      <w:szCs w:val="18"/>
    </w:rPr>
  </w:style>
  <w:style w:type="paragraph" w:customStyle="1" w:styleId="NoHeading1">
    <w:name w:val="No. Heading 1"/>
    <w:basedOn w:val="Heading1"/>
    <w:next w:val="BodyTextIndent"/>
    <w:qFormat/>
    <w:rsid w:val="00133C9F"/>
    <w:pPr>
      <w:pageBreakBefore/>
      <w:numPr>
        <w:numId w:val="19"/>
      </w:numPr>
      <w:pBdr>
        <w:top w:val="single" w:sz="4" w:space="6" w:color="00B0F0"/>
        <w:bottom w:val="single" w:sz="4" w:space="2" w:color="00B0F0"/>
      </w:pBdr>
      <w:spacing w:after="360" w:line="312" w:lineRule="auto"/>
    </w:pPr>
    <w:rPr>
      <w:rFonts w:asciiTheme="majorHAnsi" w:hAnsiTheme="majorHAnsi"/>
      <w:kern w:val="28"/>
      <w:sz w:val="32"/>
      <w:szCs w:val="20"/>
    </w:rPr>
  </w:style>
  <w:style w:type="paragraph" w:customStyle="1" w:styleId="NoHeading2">
    <w:name w:val="No. Heading 2"/>
    <w:basedOn w:val="Heading2"/>
    <w:next w:val="BodyTextIndent"/>
    <w:qFormat/>
    <w:rsid w:val="00133C9F"/>
    <w:pPr>
      <w:numPr>
        <w:ilvl w:val="1"/>
        <w:numId w:val="19"/>
      </w:numPr>
      <w:spacing w:before="240" w:after="60" w:line="240" w:lineRule="auto"/>
    </w:pPr>
    <w:rPr>
      <w:rFonts w:asciiTheme="majorHAnsi" w:hAnsiTheme="majorHAnsi"/>
      <w:caps/>
      <w:szCs w:val="20"/>
    </w:rPr>
  </w:style>
  <w:style w:type="paragraph" w:styleId="BodyText2">
    <w:name w:val="Body Text 2"/>
    <w:basedOn w:val="Normal"/>
    <w:link w:val="BodyText2Char"/>
    <w:uiPriority w:val="99"/>
    <w:semiHidden/>
    <w:rsid w:val="00133C9F"/>
    <w:pPr>
      <w:spacing w:before="0" w:after="120" w:line="480" w:lineRule="auto"/>
    </w:pPr>
    <w:rPr>
      <w:rFonts w:ascii="Calibri" w:eastAsia="Times New Roman" w:hAnsi="Calibri"/>
      <w:sz w:val="21"/>
      <w:szCs w:val="20"/>
    </w:rPr>
  </w:style>
  <w:style w:type="character" w:customStyle="1" w:styleId="BodyText2Char">
    <w:name w:val="Body Text 2 Char"/>
    <w:basedOn w:val="DefaultParagraphFont"/>
    <w:link w:val="BodyText2"/>
    <w:uiPriority w:val="99"/>
    <w:semiHidden/>
    <w:rsid w:val="00133C9F"/>
    <w:rPr>
      <w:rFonts w:ascii="Calibri" w:eastAsia="Times New Roman" w:hAnsi="Calibri"/>
      <w:sz w:val="21"/>
      <w:szCs w:val="20"/>
    </w:rPr>
  </w:style>
  <w:style w:type="paragraph" w:customStyle="1" w:styleId="NoHeading3">
    <w:name w:val="No. Heading 3"/>
    <w:basedOn w:val="NoHeading3nonum"/>
    <w:next w:val="BodyTextIndent"/>
    <w:qFormat/>
    <w:rsid w:val="00133C9F"/>
    <w:pPr>
      <w:numPr>
        <w:ilvl w:val="2"/>
        <w:numId w:val="19"/>
      </w:numPr>
    </w:pPr>
  </w:style>
  <w:style w:type="paragraph" w:customStyle="1" w:styleId="NoHeading4">
    <w:name w:val="No. Heading 4"/>
    <w:basedOn w:val="Heading4"/>
    <w:next w:val="BodyTextIndent"/>
    <w:qFormat/>
    <w:rsid w:val="00133C9F"/>
    <w:pPr>
      <w:numPr>
        <w:ilvl w:val="3"/>
        <w:numId w:val="16"/>
      </w:numPr>
      <w:pBdr>
        <w:bottom w:val="none" w:sz="0" w:space="0" w:color="auto"/>
      </w:pBdr>
      <w:tabs>
        <w:tab w:val="right" w:pos="9106"/>
      </w:tabs>
      <w:spacing w:before="0" w:after="60" w:line="240" w:lineRule="auto"/>
    </w:pPr>
    <w:rPr>
      <w:rFonts w:cstheme="minorBidi"/>
      <w:iCs w:val="0"/>
      <w:color w:val="00A1E4"/>
      <w:sz w:val="21"/>
      <w:szCs w:val="18"/>
    </w:rPr>
  </w:style>
  <w:style w:type="paragraph" w:customStyle="1" w:styleId="NoHeading5">
    <w:name w:val="No. Heading 5"/>
    <w:basedOn w:val="Heading5"/>
    <w:next w:val="BodyTextIndent"/>
    <w:qFormat/>
    <w:rsid w:val="00133C9F"/>
    <w:pPr>
      <w:numPr>
        <w:ilvl w:val="4"/>
        <w:numId w:val="16"/>
      </w:numPr>
      <w:tabs>
        <w:tab w:val="right" w:pos="9106"/>
      </w:tabs>
      <w:spacing w:before="0" w:after="60" w:line="240" w:lineRule="auto"/>
    </w:pPr>
    <w:rPr>
      <w:b/>
      <w:bCs/>
      <w:iCs/>
    </w:rPr>
  </w:style>
  <w:style w:type="paragraph" w:customStyle="1" w:styleId="NoHeading6">
    <w:name w:val="No. Heading 6"/>
    <w:basedOn w:val="Heading6"/>
    <w:next w:val="BodyTextIndent"/>
    <w:qFormat/>
    <w:rsid w:val="00133C9F"/>
    <w:pPr>
      <w:numPr>
        <w:ilvl w:val="5"/>
        <w:numId w:val="16"/>
      </w:numPr>
    </w:pPr>
  </w:style>
  <w:style w:type="numbering" w:customStyle="1" w:styleId="ListNumberIndent">
    <w:name w:val="ListNumberIndent"/>
    <w:uiPriority w:val="99"/>
    <w:rsid w:val="00133C9F"/>
    <w:pPr>
      <w:numPr>
        <w:numId w:val="23"/>
      </w:numPr>
    </w:pPr>
  </w:style>
  <w:style w:type="paragraph" w:customStyle="1" w:styleId="Coverdetails">
    <w:name w:val="Cover details"/>
    <w:basedOn w:val="Normal"/>
    <w:uiPriority w:val="99"/>
    <w:semiHidden/>
    <w:qFormat/>
    <w:rsid w:val="00133C9F"/>
    <w:pPr>
      <w:spacing w:before="240" w:after="0" w:line="240" w:lineRule="auto"/>
    </w:pPr>
    <w:rPr>
      <w:rFonts w:asciiTheme="majorHAnsi" w:eastAsia="Times New Roman" w:hAnsiTheme="majorHAnsi"/>
      <w:b/>
      <w:color w:val="00A1E4"/>
      <w:sz w:val="24"/>
      <w:szCs w:val="20"/>
    </w:rPr>
  </w:style>
  <w:style w:type="numbering" w:customStyle="1" w:styleId="TableBullet">
    <w:name w:val="TableBullet"/>
    <w:uiPriority w:val="99"/>
    <w:rsid w:val="00133C9F"/>
    <w:pPr>
      <w:numPr>
        <w:numId w:val="7"/>
      </w:numPr>
    </w:pPr>
  </w:style>
  <w:style w:type="paragraph" w:customStyle="1" w:styleId="TableNoteIndent">
    <w:name w:val="Table Note Indent"/>
    <w:basedOn w:val="BodyTextIndent"/>
    <w:uiPriority w:val="7"/>
    <w:qFormat/>
    <w:rsid w:val="00133C9F"/>
    <w:pPr>
      <w:keepLines/>
      <w:spacing w:before="60" w:after="60" w:line="240" w:lineRule="auto"/>
      <w:ind w:left="851"/>
      <w:jc w:val="both"/>
    </w:pPr>
    <w:rPr>
      <w:rFonts w:ascii="Calibri" w:eastAsia="Times New Roman" w:hAnsi="Calibri"/>
      <w:i/>
      <w:sz w:val="18"/>
      <w:szCs w:val="20"/>
    </w:rPr>
  </w:style>
  <w:style w:type="paragraph" w:customStyle="1" w:styleId="TableHeading2">
    <w:name w:val="Table Heading 2"/>
    <w:basedOn w:val="Normal"/>
    <w:uiPriority w:val="7"/>
    <w:qFormat/>
    <w:rsid w:val="00133C9F"/>
    <w:pPr>
      <w:keepNext/>
      <w:keepLines/>
      <w:tabs>
        <w:tab w:val="num" w:pos="397"/>
      </w:tabs>
      <w:spacing w:before="80" w:after="80" w:line="240" w:lineRule="auto"/>
      <w:ind w:left="397" w:hanging="397"/>
    </w:pPr>
    <w:rPr>
      <w:rFonts w:ascii="Calibri" w:eastAsia="Times New Roman" w:hAnsi="Calibri"/>
      <w:b/>
      <w:sz w:val="18"/>
      <w:szCs w:val="18"/>
    </w:rPr>
  </w:style>
  <w:style w:type="paragraph" w:customStyle="1" w:styleId="HeaderA4LSA3PT">
    <w:name w:val="Header A4LS A3PT"/>
    <w:basedOn w:val="Header"/>
    <w:uiPriority w:val="99"/>
    <w:semiHidden/>
    <w:qFormat/>
    <w:rsid w:val="00133C9F"/>
    <w:pPr>
      <w:tabs>
        <w:tab w:val="clear" w:pos="4513"/>
        <w:tab w:val="clear" w:pos="9026"/>
        <w:tab w:val="right" w:pos="14005"/>
      </w:tabs>
    </w:pPr>
    <w:rPr>
      <w:rFonts w:ascii="Calibri" w:eastAsia="Times New Roman" w:hAnsi="Calibri"/>
      <w:color w:val="404040" w:themeColor="text1" w:themeTint="BF"/>
      <w:sz w:val="16"/>
      <w:szCs w:val="20"/>
    </w:rPr>
  </w:style>
  <w:style w:type="paragraph" w:customStyle="1" w:styleId="FooterA4LSA3PT">
    <w:name w:val="Footer A4LS A3PT"/>
    <w:basedOn w:val="Footer"/>
    <w:uiPriority w:val="99"/>
    <w:semiHidden/>
    <w:qFormat/>
    <w:rsid w:val="00133C9F"/>
    <w:pPr>
      <w:pBdr>
        <w:top w:val="single" w:sz="4" w:space="3" w:color="404040" w:themeColor="text1" w:themeTint="BF"/>
      </w:pBdr>
      <w:tabs>
        <w:tab w:val="center" w:pos="7002"/>
        <w:tab w:val="right" w:pos="14005"/>
      </w:tabs>
    </w:pPr>
    <w:rPr>
      <w:rFonts w:ascii="Calibri" w:eastAsia="Times New Roman" w:hAnsi="Calibri"/>
      <w:caps w:val="0"/>
      <w:color w:val="404040" w:themeColor="text1" w:themeTint="BF"/>
      <w:sz w:val="16"/>
      <w:szCs w:val="20"/>
    </w:rPr>
  </w:style>
  <w:style w:type="paragraph" w:customStyle="1" w:styleId="FooterA3LS">
    <w:name w:val="Footer A3LS"/>
    <w:basedOn w:val="Footer"/>
    <w:uiPriority w:val="99"/>
    <w:semiHidden/>
    <w:qFormat/>
    <w:rsid w:val="00133C9F"/>
    <w:pPr>
      <w:pBdr>
        <w:top w:val="single" w:sz="4" w:space="3" w:color="404040" w:themeColor="text1" w:themeTint="BF"/>
      </w:pBdr>
      <w:tabs>
        <w:tab w:val="center" w:pos="10490"/>
        <w:tab w:val="right" w:pos="20979"/>
      </w:tabs>
    </w:pPr>
    <w:rPr>
      <w:rFonts w:ascii="Calibri" w:eastAsia="Times New Roman" w:hAnsi="Calibri"/>
      <w:caps w:val="0"/>
      <w:color w:val="404040" w:themeColor="text1" w:themeTint="BF"/>
      <w:sz w:val="16"/>
      <w:szCs w:val="20"/>
    </w:rPr>
  </w:style>
  <w:style w:type="paragraph" w:customStyle="1" w:styleId="HeaderA3LS">
    <w:name w:val="Header A3LS"/>
    <w:basedOn w:val="Header"/>
    <w:uiPriority w:val="99"/>
    <w:semiHidden/>
    <w:qFormat/>
    <w:rsid w:val="00133C9F"/>
    <w:pPr>
      <w:tabs>
        <w:tab w:val="clear" w:pos="4513"/>
        <w:tab w:val="clear" w:pos="9026"/>
        <w:tab w:val="right" w:pos="20979"/>
      </w:tabs>
    </w:pPr>
    <w:rPr>
      <w:rFonts w:ascii="Calibri" w:eastAsia="Times New Roman" w:hAnsi="Calibri"/>
      <w:color w:val="404040" w:themeColor="text1" w:themeTint="BF"/>
      <w:sz w:val="16"/>
      <w:szCs w:val="20"/>
    </w:rPr>
  </w:style>
  <w:style w:type="character" w:customStyle="1" w:styleId="Italic">
    <w:name w:val="Italic"/>
    <w:uiPriority w:val="8"/>
    <w:qFormat/>
    <w:rsid w:val="00133C9F"/>
    <w:rPr>
      <w:i/>
    </w:rPr>
  </w:style>
  <w:style w:type="character" w:customStyle="1" w:styleId="Superscript">
    <w:name w:val="Superscript"/>
    <w:uiPriority w:val="8"/>
    <w:qFormat/>
    <w:rsid w:val="00133C9F"/>
    <w:rPr>
      <w:vertAlign w:val="superscript"/>
    </w:rPr>
  </w:style>
  <w:style w:type="character" w:customStyle="1" w:styleId="Subscript">
    <w:name w:val="Subscript"/>
    <w:basedOn w:val="DefaultParagraphFont"/>
    <w:uiPriority w:val="8"/>
    <w:qFormat/>
    <w:rsid w:val="00133C9F"/>
    <w:rPr>
      <w:vertAlign w:val="subscript"/>
    </w:rPr>
  </w:style>
  <w:style w:type="numbering" w:customStyle="1" w:styleId="ListParagraph">
    <w:name w:val="List_Paragraph"/>
    <w:uiPriority w:val="99"/>
    <w:rsid w:val="00133C9F"/>
    <w:pPr>
      <w:numPr>
        <w:numId w:val="20"/>
      </w:numPr>
    </w:pPr>
  </w:style>
  <w:style w:type="paragraph" w:customStyle="1" w:styleId="DecisionList">
    <w:name w:val="Decision List"/>
    <w:uiPriority w:val="4"/>
    <w:qFormat/>
    <w:rsid w:val="00133C9F"/>
    <w:pPr>
      <w:numPr>
        <w:numId w:val="26"/>
      </w:numPr>
      <w:spacing w:before="60" w:after="60" w:line="240" w:lineRule="auto"/>
    </w:pPr>
    <w:rPr>
      <w:rFonts w:ascii="Calibri" w:eastAsia="Times New Roman" w:hAnsi="Calibri"/>
      <w:b/>
      <w:sz w:val="21"/>
    </w:rPr>
  </w:style>
  <w:style w:type="table" w:styleId="TableSimple2">
    <w:name w:val="Table Simple 2"/>
    <w:basedOn w:val="TableNormal"/>
    <w:rsid w:val="00133C9F"/>
    <w:pPr>
      <w:spacing w:after="0" w:line="24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CoverAddress0">
    <w:name w:val="Cover Address"/>
    <w:basedOn w:val="Normal"/>
    <w:uiPriority w:val="99"/>
    <w:semiHidden/>
    <w:qFormat/>
    <w:rsid w:val="00133C9F"/>
    <w:pPr>
      <w:framePr w:hSpace="181" w:wrap="around" w:hAnchor="text" w:yAlign="bottom"/>
      <w:spacing w:before="0" w:after="0" w:line="240" w:lineRule="auto"/>
      <w:suppressOverlap/>
    </w:pPr>
    <w:rPr>
      <w:rFonts w:ascii="Calibri" w:eastAsia="Times New Roman" w:hAnsi="Calibri"/>
      <w:sz w:val="18"/>
      <w:szCs w:val="20"/>
    </w:rPr>
  </w:style>
  <w:style w:type="paragraph" w:customStyle="1" w:styleId="GlossaryHeading">
    <w:name w:val="Glossary Heading"/>
    <w:basedOn w:val="Normal"/>
    <w:uiPriority w:val="4"/>
    <w:qFormat/>
    <w:rsid w:val="00133C9F"/>
    <w:pPr>
      <w:keepNext/>
      <w:spacing w:beforeLines="20" w:before="0" w:afterLines="20" w:after="0" w:line="240" w:lineRule="auto"/>
    </w:pPr>
    <w:rPr>
      <w:rFonts w:ascii="Calibri" w:eastAsia="Times New Roman" w:hAnsi="Calibri"/>
      <w:b/>
      <w:color w:val="FFFFFF" w:themeColor="background1"/>
      <w:sz w:val="21"/>
      <w:szCs w:val="20"/>
    </w:rPr>
  </w:style>
  <w:style w:type="character" w:customStyle="1" w:styleId="Underline">
    <w:name w:val="Underline"/>
    <w:basedOn w:val="DefaultParagraphFont"/>
    <w:uiPriority w:val="8"/>
    <w:qFormat/>
    <w:rsid w:val="00133C9F"/>
    <w:rPr>
      <w:u w:val="single"/>
    </w:rPr>
  </w:style>
  <w:style w:type="numbering" w:customStyle="1" w:styleId="ListTableNumber">
    <w:name w:val="List_TableNumber"/>
    <w:uiPriority w:val="99"/>
    <w:rsid w:val="00133C9F"/>
    <w:pPr>
      <w:numPr>
        <w:numId w:val="8"/>
      </w:numPr>
    </w:pPr>
  </w:style>
  <w:style w:type="numbering" w:customStyle="1" w:styleId="ListHeadings">
    <w:name w:val="List_Headings"/>
    <w:uiPriority w:val="99"/>
    <w:rsid w:val="00133C9F"/>
    <w:pPr>
      <w:numPr>
        <w:numId w:val="19"/>
      </w:numPr>
    </w:pPr>
  </w:style>
  <w:style w:type="paragraph" w:customStyle="1" w:styleId="TableText2pt">
    <w:name w:val="Table Text 2pt"/>
    <w:basedOn w:val="TableText"/>
    <w:uiPriority w:val="4"/>
    <w:qFormat/>
    <w:locked/>
    <w:rsid w:val="00133C9F"/>
    <w:pPr>
      <w:spacing w:before="40" w:after="40"/>
    </w:pPr>
  </w:style>
  <w:style w:type="paragraph" w:customStyle="1" w:styleId="CaptionIndent">
    <w:name w:val="Caption Indent"/>
    <w:basedOn w:val="Caption"/>
    <w:uiPriority w:val="98"/>
    <w:qFormat/>
    <w:rsid w:val="00133C9F"/>
    <w:pPr>
      <w:keepNext/>
      <w:tabs>
        <w:tab w:val="left" w:pos="1701"/>
      </w:tabs>
      <w:spacing w:before="120" w:after="120" w:line="240" w:lineRule="auto"/>
      <w:ind w:left="1702" w:hanging="851"/>
      <w:jc w:val="left"/>
    </w:pPr>
    <w:rPr>
      <w:rFonts w:ascii="Calibri" w:eastAsia="Times New Roman" w:hAnsi="Calibri"/>
      <w:b/>
      <w:bCs/>
      <w:iCs w:val="0"/>
      <w:caps w:val="0"/>
      <w:color w:val="auto"/>
      <w:sz w:val="21"/>
      <w:szCs w:val="20"/>
    </w:rPr>
  </w:style>
  <w:style w:type="numbering" w:customStyle="1" w:styleId="ListAppendix">
    <w:name w:val="ListAppendix"/>
    <w:uiPriority w:val="99"/>
    <w:rsid w:val="00133C9F"/>
    <w:pPr>
      <w:numPr>
        <w:numId w:val="22"/>
      </w:numPr>
    </w:pPr>
  </w:style>
  <w:style w:type="paragraph" w:customStyle="1" w:styleId="TableTextRight">
    <w:name w:val="Table Text Right"/>
    <w:basedOn w:val="TableText"/>
    <w:uiPriority w:val="4"/>
    <w:qFormat/>
    <w:rsid w:val="00133C9F"/>
    <w:pPr>
      <w:jc w:val="right"/>
    </w:pPr>
  </w:style>
  <w:style w:type="paragraph" w:customStyle="1" w:styleId="TableTextCentre">
    <w:name w:val="Table Text Centre"/>
    <w:basedOn w:val="TableText"/>
    <w:uiPriority w:val="4"/>
    <w:qFormat/>
    <w:rsid w:val="00133C9F"/>
    <w:pPr>
      <w:jc w:val="center"/>
    </w:pPr>
  </w:style>
  <w:style w:type="numbering" w:customStyle="1" w:styleId="ListNumber">
    <w:name w:val="List_Number"/>
    <w:uiPriority w:val="99"/>
    <w:rsid w:val="00133C9F"/>
    <w:pPr>
      <w:numPr>
        <w:numId w:val="9"/>
      </w:numPr>
    </w:pPr>
  </w:style>
  <w:style w:type="paragraph" w:customStyle="1" w:styleId="IntroductionIndent">
    <w:name w:val="Introduction Indent"/>
    <w:basedOn w:val="Introduction"/>
    <w:uiPriority w:val="4"/>
    <w:qFormat/>
    <w:rsid w:val="00133C9F"/>
    <w:pPr>
      <w:ind w:left="851"/>
    </w:pPr>
  </w:style>
  <w:style w:type="numbering" w:customStyle="1" w:styleId="ListTableHeading2">
    <w:name w:val="List_TableHeading2"/>
    <w:uiPriority w:val="99"/>
    <w:rsid w:val="00133C9F"/>
    <w:pPr>
      <w:numPr>
        <w:numId w:val="10"/>
      </w:numPr>
    </w:pPr>
  </w:style>
  <w:style w:type="paragraph" w:customStyle="1" w:styleId="Reference1">
    <w:name w:val="Reference 1"/>
    <w:basedOn w:val="Normal"/>
    <w:uiPriority w:val="11"/>
    <w:qFormat/>
    <w:rsid w:val="00133C9F"/>
    <w:pPr>
      <w:spacing w:before="200" w:after="60" w:line="240" w:lineRule="auto"/>
      <w:ind w:left="425" w:hanging="425"/>
    </w:pPr>
    <w:rPr>
      <w:rFonts w:ascii="Calibri" w:eastAsia="Times New Roman" w:hAnsi="Calibri"/>
      <w:sz w:val="21"/>
      <w:szCs w:val="20"/>
    </w:rPr>
  </w:style>
  <w:style w:type="paragraph" w:customStyle="1" w:styleId="Reference2">
    <w:name w:val="Reference 2"/>
    <w:basedOn w:val="Reference1"/>
    <w:uiPriority w:val="11"/>
    <w:qFormat/>
    <w:rsid w:val="00133C9F"/>
    <w:pPr>
      <w:spacing w:before="0" w:after="120"/>
      <w:ind w:firstLine="0"/>
    </w:pPr>
  </w:style>
  <w:style w:type="paragraph" w:customStyle="1" w:styleId="QuotationListNumber">
    <w:name w:val="Quotation List Number"/>
    <w:basedOn w:val="QuotationListAlpha"/>
    <w:uiPriority w:val="11"/>
    <w:qFormat/>
    <w:rsid w:val="00133C9F"/>
    <w:pPr>
      <w:numPr>
        <w:numId w:val="12"/>
      </w:numPr>
    </w:pPr>
  </w:style>
  <w:style w:type="paragraph" w:customStyle="1" w:styleId="QuotationListBullet">
    <w:name w:val="Quotation List Bullet"/>
    <w:basedOn w:val="QuotationListNumber"/>
    <w:uiPriority w:val="11"/>
    <w:qFormat/>
    <w:rsid w:val="00133C9F"/>
    <w:pPr>
      <w:numPr>
        <w:numId w:val="13"/>
      </w:numPr>
    </w:pPr>
  </w:style>
  <w:style w:type="numbering" w:customStyle="1" w:styleId="ListQuotationAlpha">
    <w:name w:val="List_QuotationAlpha"/>
    <w:uiPriority w:val="99"/>
    <w:rsid w:val="00133C9F"/>
    <w:pPr>
      <w:numPr>
        <w:numId w:val="11"/>
      </w:numPr>
    </w:pPr>
  </w:style>
  <w:style w:type="numbering" w:customStyle="1" w:styleId="ListQuotationNumber">
    <w:name w:val="List_QuotationNumber"/>
    <w:uiPriority w:val="99"/>
    <w:rsid w:val="00133C9F"/>
    <w:pPr>
      <w:numPr>
        <w:numId w:val="12"/>
      </w:numPr>
    </w:pPr>
  </w:style>
  <w:style w:type="numbering" w:customStyle="1" w:styleId="ListQuotationBullet">
    <w:name w:val="List_QuotationBullet"/>
    <w:uiPriority w:val="99"/>
    <w:rsid w:val="00133C9F"/>
    <w:pPr>
      <w:numPr>
        <w:numId w:val="13"/>
      </w:numPr>
    </w:pPr>
  </w:style>
  <w:style w:type="paragraph" w:customStyle="1" w:styleId="TableDecimal">
    <w:name w:val="Table Decimal"/>
    <w:basedOn w:val="TableText"/>
    <w:uiPriority w:val="5"/>
    <w:qFormat/>
    <w:rsid w:val="00133C9F"/>
    <w:pPr>
      <w:tabs>
        <w:tab w:val="decimal" w:pos="1418"/>
        <w:tab w:val="decimal" w:pos="2835"/>
        <w:tab w:val="decimal" w:pos="4253"/>
        <w:tab w:val="decimal" w:pos="5670"/>
        <w:tab w:val="decimal" w:pos="7088"/>
        <w:tab w:val="decimal" w:pos="8505"/>
      </w:tabs>
    </w:pPr>
  </w:style>
  <w:style w:type="character" w:customStyle="1" w:styleId="HighlightBlue">
    <w:name w:val="Highlight Blue"/>
    <w:uiPriority w:val="8"/>
    <w:rsid w:val="00133C9F"/>
    <w:rPr>
      <w:bdr w:val="none" w:sz="0" w:space="0" w:color="auto"/>
      <w:shd w:val="clear" w:color="auto" w:fill="61D2FF"/>
    </w:rPr>
  </w:style>
  <w:style w:type="character" w:customStyle="1" w:styleId="HighlightYellow">
    <w:name w:val="Highlight Yellow"/>
    <w:uiPriority w:val="8"/>
    <w:qFormat/>
    <w:rsid w:val="00133C9F"/>
    <w:rPr>
      <w:bdr w:val="none" w:sz="0" w:space="0" w:color="auto"/>
      <w:shd w:val="clear" w:color="auto" w:fill="FCEA9C"/>
    </w:rPr>
  </w:style>
  <w:style w:type="character" w:customStyle="1" w:styleId="BoldUnderline">
    <w:name w:val="Bold Underline"/>
    <w:basedOn w:val="DefaultParagraphFont"/>
    <w:uiPriority w:val="8"/>
    <w:qFormat/>
    <w:rsid w:val="00133C9F"/>
    <w:rPr>
      <w:b/>
      <w:u w:val="single"/>
    </w:rPr>
  </w:style>
  <w:style w:type="paragraph" w:customStyle="1" w:styleId="NoHeading3nonum">
    <w:name w:val="No. Heading 3 (no num)"/>
    <w:basedOn w:val="Heading3"/>
    <w:next w:val="BodyTextIndent"/>
    <w:qFormat/>
    <w:rsid w:val="00133C9F"/>
    <w:pPr>
      <w:keepLines w:val="0"/>
      <w:spacing w:before="180" w:after="60" w:line="240" w:lineRule="auto"/>
      <w:ind w:left="851"/>
    </w:pPr>
    <w:rPr>
      <w:rFonts w:ascii="Calibri" w:eastAsia="Times New Roman" w:hAnsi="Calibri" w:cstheme="minorBidi"/>
      <w:szCs w:val="20"/>
    </w:rPr>
  </w:style>
  <w:style w:type="character" w:customStyle="1" w:styleId="TealText">
    <w:name w:val="Teal Text"/>
    <w:basedOn w:val="DefaultParagraphFont"/>
    <w:uiPriority w:val="12"/>
    <w:qFormat/>
    <w:rsid w:val="00133C9F"/>
    <w:rPr>
      <w:color w:val="31849B"/>
    </w:rPr>
  </w:style>
  <w:style w:type="character" w:customStyle="1" w:styleId="OrangeText">
    <w:name w:val="Orange Text"/>
    <w:uiPriority w:val="12"/>
    <w:qFormat/>
    <w:rsid w:val="00133C9F"/>
    <w:rPr>
      <w:color w:val="E36C0A"/>
    </w:rPr>
  </w:style>
  <w:style w:type="paragraph" w:styleId="TableofFigures">
    <w:name w:val="table of figures"/>
    <w:basedOn w:val="TOC5"/>
    <w:next w:val="Normal"/>
    <w:uiPriority w:val="99"/>
    <w:rsid w:val="00133C9F"/>
  </w:style>
  <w:style w:type="paragraph" w:customStyle="1" w:styleId="Equation">
    <w:name w:val="Equation"/>
    <w:basedOn w:val="BodyText"/>
    <w:uiPriority w:val="4"/>
    <w:qFormat/>
    <w:rsid w:val="00133C9F"/>
    <w:pPr>
      <w:spacing w:before="120" w:line="264" w:lineRule="auto"/>
      <w:jc w:val="both"/>
    </w:pPr>
    <w:rPr>
      <w:rFonts w:ascii="Cambria Math" w:eastAsia="Times New Roman" w:hAnsi="Cambria Math"/>
      <w:i/>
      <w:sz w:val="21"/>
      <w:szCs w:val="20"/>
    </w:rPr>
  </w:style>
  <w:style w:type="paragraph" w:customStyle="1" w:styleId="IndentAddress">
    <w:name w:val="Indent Address"/>
    <w:basedOn w:val="Normal"/>
    <w:uiPriority w:val="14"/>
    <w:rsid w:val="00133C9F"/>
    <w:pPr>
      <w:spacing w:before="0" w:after="0" w:line="240" w:lineRule="auto"/>
      <w:ind w:left="709"/>
    </w:pPr>
    <w:rPr>
      <w:rFonts w:eastAsia="Times New Roman"/>
      <w:sz w:val="21"/>
      <w:szCs w:val="20"/>
    </w:rPr>
  </w:style>
  <w:style w:type="paragraph" w:customStyle="1" w:styleId="ListBulletIndent0">
    <w:name w:val="List Bullet Indent"/>
    <w:basedOn w:val="ListBullet"/>
    <w:uiPriority w:val="1"/>
    <w:qFormat/>
    <w:rsid w:val="00133C9F"/>
    <w:pPr>
      <w:numPr>
        <w:numId w:val="25"/>
      </w:numPr>
      <w:spacing w:before="120" w:after="120"/>
    </w:pPr>
  </w:style>
  <w:style w:type="numbering" w:customStyle="1" w:styleId="ListBulletIndent">
    <w:name w:val="List_BulletIndent"/>
    <w:uiPriority w:val="99"/>
    <w:rsid w:val="00133C9F"/>
    <w:pPr>
      <w:numPr>
        <w:numId w:val="18"/>
      </w:numPr>
    </w:pPr>
  </w:style>
  <w:style w:type="numbering" w:customStyle="1" w:styleId="ListBullets">
    <w:name w:val="List_Bullets"/>
    <w:uiPriority w:val="99"/>
    <w:rsid w:val="00133C9F"/>
    <w:pPr>
      <w:numPr>
        <w:numId w:val="3"/>
      </w:numPr>
    </w:pPr>
  </w:style>
  <w:style w:type="table" w:styleId="TableGridLight">
    <w:name w:val="Grid Table Light"/>
    <w:basedOn w:val="TableNormal"/>
    <w:uiPriority w:val="40"/>
    <w:rsid w:val="005D7C54"/>
    <w:pPr>
      <w:spacing w:after="0" w:line="240" w:lineRule="auto"/>
    </w:pPr>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B0E51"/>
    <w:rPr>
      <w:color w:val="605E5C"/>
      <w:shd w:val="clear" w:color="auto" w:fill="E1DFDD"/>
    </w:rPr>
  </w:style>
  <w:style w:type="numbering" w:customStyle="1" w:styleId="NoList1">
    <w:name w:val="No List1"/>
    <w:next w:val="NoList"/>
    <w:uiPriority w:val="99"/>
    <w:semiHidden/>
    <w:unhideWhenUsed/>
    <w:rsid w:val="000251CF"/>
  </w:style>
  <w:style w:type="table" w:customStyle="1" w:styleId="QCATable1">
    <w:name w:val="QCA Table1"/>
    <w:basedOn w:val="TableNormal"/>
    <w:next w:val="TableGrid"/>
    <w:rsid w:val="000251CF"/>
    <w:pPr>
      <w:spacing w:after="0" w:line="240" w:lineRule="auto"/>
    </w:pPr>
    <w:rPr>
      <w:rFonts w:eastAsia="Times New Roman"/>
      <w:sz w:val="18"/>
    </w:rPr>
    <w:tblPr>
      <w:tblInd w:w="95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tblStylePr w:type="firstRow">
      <w:rPr>
        <w:rFonts w:ascii="Calibri" w:hAnsi="Calibri"/>
        <w:b w:val="0"/>
      </w:rPr>
      <w:tblPr/>
      <w:trPr>
        <w:tblHeader/>
      </w:trPr>
      <w:tcPr>
        <w:tcBorders>
          <w:top w:val="single" w:sz="4" w:space="0" w:color="808285"/>
          <w:left w:val="single" w:sz="4" w:space="0" w:color="808285"/>
          <w:bottom w:val="single" w:sz="4" w:space="0" w:color="808285"/>
          <w:right w:val="single" w:sz="4" w:space="0" w:color="808285"/>
          <w:insideH w:val="single" w:sz="4" w:space="0" w:color="808285"/>
          <w:insideV w:val="single" w:sz="4" w:space="0" w:color="808285"/>
          <w:tl2br w:val="nil"/>
          <w:tr2bl w:val="nil"/>
        </w:tcBorders>
      </w:tcPr>
    </w:tblStylePr>
    <w:tblStylePr w:type="lastRow">
      <w:rPr>
        <w:i/>
        <w:iCs/>
      </w:rPr>
    </w:tblStylePr>
    <w:tblStylePr w:type="lastCol">
      <w:rPr>
        <w:i/>
        <w:iCs/>
      </w:rPr>
    </w:tblStylePr>
  </w:style>
  <w:style w:type="numbering" w:customStyle="1" w:styleId="ListAlpha1">
    <w:name w:val="List_Alpha1"/>
    <w:uiPriority w:val="99"/>
    <w:rsid w:val="000251CF"/>
  </w:style>
  <w:style w:type="numbering" w:customStyle="1" w:styleId="ListAlphaIndent1">
    <w:name w:val="ListAlphaIndent1"/>
    <w:uiPriority w:val="99"/>
    <w:rsid w:val="000251CF"/>
  </w:style>
  <w:style w:type="numbering" w:customStyle="1" w:styleId="Appendix1">
    <w:name w:val="Appendix1"/>
    <w:uiPriority w:val="99"/>
    <w:locked/>
    <w:rsid w:val="000251CF"/>
  </w:style>
  <w:style w:type="numbering" w:customStyle="1" w:styleId="Style11">
    <w:name w:val="Style11"/>
    <w:uiPriority w:val="99"/>
    <w:locked/>
    <w:rsid w:val="000251CF"/>
  </w:style>
  <w:style w:type="numbering" w:customStyle="1" w:styleId="ListNumberIndent1">
    <w:name w:val="ListNumberIndent1"/>
    <w:uiPriority w:val="99"/>
    <w:rsid w:val="000251CF"/>
  </w:style>
  <w:style w:type="numbering" w:customStyle="1" w:styleId="TableBullet1">
    <w:name w:val="TableBullet1"/>
    <w:uiPriority w:val="99"/>
    <w:rsid w:val="000251CF"/>
  </w:style>
  <w:style w:type="numbering" w:customStyle="1" w:styleId="ListParagraph1">
    <w:name w:val="List_Paragraph1"/>
    <w:uiPriority w:val="99"/>
    <w:rsid w:val="000251CF"/>
  </w:style>
  <w:style w:type="numbering" w:customStyle="1" w:styleId="ListTableNumber1">
    <w:name w:val="List_TableNumber1"/>
    <w:uiPriority w:val="99"/>
    <w:rsid w:val="000251CF"/>
  </w:style>
  <w:style w:type="numbering" w:customStyle="1" w:styleId="ListHeadings1">
    <w:name w:val="List_Headings1"/>
    <w:uiPriority w:val="99"/>
    <w:rsid w:val="000251CF"/>
  </w:style>
  <w:style w:type="numbering" w:customStyle="1" w:styleId="ListAppendix1">
    <w:name w:val="ListAppendix1"/>
    <w:uiPriority w:val="99"/>
    <w:rsid w:val="000251CF"/>
  </w:style>
  <w:style w:type="numbering" w:customStyle="1" w:styleId="ListNumber1">
    <w:name w:val="List_Number1"/>
    <w:uiPriority w:val="99"/>
    <w:rsid w:val="000251CF"/>
  </w:style>
  <w:style w:type="numbering" w:customStyle="1" w:styleId="ListTableHeading21">
    <w:name w:val="List_TableHeading21"/>
    <w:uiPriority w:val="99"/>
    <w:rsid w:val="000251CF"/>
  </w:style>
  <w:style w:type="numbering" w:customStyle="1" w:styleId="ListQuotationAlpha1">
    <w:name w:val="List_QuotationAlpha1"/>
    <w:uiPriority w:val="99"/>
    <w:rsid w:val="000251CF"/>
  </w:style>
  <w:style w:type="numbering" w:customStyle="1" w:styleId="ListQuotationNumber1">
    <w:name w:val="List_QuotationNumber1"/>
    <w:uiPriority w:val="99"/>
    <w:rsid w:val="000251CF"/>
  </w:style>
  <w:style w:type="numbering" w:customStyle="1" w:styleId="ListQuotationBullet1">
    <w:name w:val="List_QuotationBullet1"/>
    <w:uiPriority w:val="99"/>
    <w:rsid w:val="000251CF"/>
  </w:style>
  <w:style w:type="numbering" w:customStyle="1" w:styleId="ListBulletIndent1">
    <w:name w:val="List_BulletIndent1"/>
    <w:uiPriority w:val="99"/>
    <w:rsid w:val="000251CF"/>
  </w:style>
  <w:style w:type="numbering" w:customStyle="1" w:styleId="ListBullets1">
    <w:name w:val="List_Bullets1"/>
    <w:uiPriority w:val="99"/>
    <w:rsid w:val="00025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1440">
      <w:bodyDiv w:val="1"/>
      <w:marLeft w:val="0"/>
      <w:marRight w:val="0"/>
      <w:marTop w:val="0"/>
      <w:marBottom w:val="0"/>
      <w:divBdr>
        <w:top w:val="none" w:sz="0" w:space="0" w:color="auto"/>
        <w:left w:val="none" w:sz="0" w:space="0" w:color="auto"/>
        <w:bottom w:val="none" w:sz="0" w:space="0" w:color="auto"/>
        <w:right w:val="none" w:sz="0" w:space="0" w:color="auto"/>
      </w:divBdr>
      <w:divsChild>
        <w:div w:id="1875002740">
          <w:marLeft w:val="0"/>
          <w:marRight w:val="0"/>
          <w:marTop w:val="0"/>
          <w:marBottom w:val="0"/>
          <w:divBdr>
            <w:top w:val="none" w:sz="0" w:space="0" w:color="auto"/>
            <w:left w:val="none" w:sz="0" w:space="0" w:color="auto"/>
            <w:bottom w:val="none" w:sz="0" w:space="0" w:color="auto"/>
            <w:right w:val="none" w:sz="0" w:space="0" w:color="auto"/>
          </w:divBdr>
          <w:divsChild>
            <w:div w:id="881401574">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3588">
      <w:bodyDiv w:val="1"/>
      <w:marLeft w:val="0"/>
      <w:marRight w:val="0"/>
      <w:marTop w:val="0"/>
      <w:marBottom w:val="0"/>
      <w:divBdr>
        <w:top w:val="none" w:sz="0" w:space="0" w:color="auto"/>
        <w:left w:val="none" w:sz="0" w:space="0" w:color="auto"/>
        <w:bottom w:val="none" w:sz="0" w:space="0" w:color="auto"/>
        <w:right w:val="none" w:sz="0" w:space="0" w:color="auto"/>
      </w:divBdr>
    </w:div>
    <w:div w:id="216668327">
      <w:bodyDiv w:val="1"/>
      <w:marLeft w:val="0"/>
      <w:marRight w:val="0"/>
      <w:marTop w:val="0"/>
      <w:marBottom w:val="0"/>
      <w:divBdr>
        <w:top w:val="none" w:sz="0" w:space="0" w:color="auto"/>
        <w:left w:val="none" w:sz="0" w:space="0" w:color="auto"/>
        <w:bottom w:val="none" w:sz="0" w:space="0" w:color="auto"/>
        <w:right w:val="none" w:sz="0" w:space="0" w:color="auto"/>
      </w:divBdr>
    </w:div>
    <w:div w:id="399447285">
      <w:bodyDiv w:val="1"/>
      <w:marLeft w:val="0"/>
      <w:marRight w:val="0"/>
      <w:marTop w:val="0"/>
      <w:marBottom w:val="0"/>
      <w:divBdr>
        <w:top w:val="none" w:sz="0" w:space="0" w:color="auto"/>
        <w:left w:val="none" w:sz="0" w:space="0" w:color="auto"/>
        <w:bottom w:val="none" w:sz="0" w:space="0" w:color="auto"/>
        <w:right w:val="none" w:sz="0" w:space="0" w:color="auto"/>
      </w:divBdr>
    </w:div>
    <w:div w:id="800265141">
      <w:bodyDiv w:val="1"/>
      <w:marLeft w:val="0"/>
      <w:marRight w:val="0"/>
      <w:marTop w:val="0"/>
      <w:marBottom w:val="0"/>
      <w:divBdr>
        <w:top w:val="none" w:sz="0" w:space="0" w:color="auto"/>
        <w:left w:val="none" w:sz="0" w:space="0" w:color="auto"/>
        <w:bottom w:val="none" w:sz="0" w:space="0" w:color="auto"/>
        <w:right w:val="none" w:sz="0" w:space="0" w:color="auto"/>
      </w:divBdr>
    </w:div>
    <w:div w:id="1185169565">
      <w:bodyDiv w:val="1"/>
      <w:marLeft w:val="0"/>
      <w:marRight w:val="0"/>
      <w:marTop w:val="0"/>
      <w:marBottom w:val="0"/>
      <w:divBdr>
        <w:top w:val="none" w:sz="0" w:space="0" w:color="auto"/>
        <w:left w:val="none" w:sz="0" w:space="0" w:color="auto"/>
        <w:bottom w:val="none" w:sz="0" w:space="0" w:color="auto"/>
        <w:right w:val="none" w:sz="0" w:space="0" w:color="auto"/>
      </w:divBdr>
    </w:div>
    <w:div w:id="1296175175">
      <w:bodyDiv w:val="1"/>
      <w:marLeft w:val="0"/>
      <w:marRight w:val="0"/>
      <w:marTop w:val="0"/>
      <w:marBottom w:val="0"/>
      <w:divBdr>
        <w:top w:val="none" w:sz="0" w:space="0" w:color="auto"/>
        <w:left w:val="none" w:sz="0" w:space="0" w:color="auto"/>
        <w:bottom w:val="none" w:sz="0" w:space="0" w:color="auto"/>
        <w:right w:val="none" w:sz="0" w:space="0" w:color="auto"/>
      </w:divBdr>
    </w:div>
    <w:div w:id="1386683179">
      <w:bodyDiv w:val="1"/>
      <w:marLeft w:val="0"/>
      <w:marRight w:val="0"/>
      <w:marTop w:val="0"/>
      <w:marBottom w:val="0"/>
      <w:divBdr>
        <w:top w:val="none" w:sz="0" w:space="0" w:color="auto"/>
        <w:left w:val="none" w:sz="0" w:space="0" w:color="auto"/>
        <w:bottom w:val="none" w:sz="0" w:space="0" w:color="auto"/>
        <w:right w:val="none" w:sz="0" w:space="0" w:color="auto"/>
      </w:divBdr>
    </w:div>
    <w:div w:id="1473913135">
      <w:bodyDiv w:val="1"/>
      <w:marLeft w:val="0"/>
      <w:marRight w:val="0"/>
      <w:marTop w:val="0"/>
      <w:marBottom w:val="0"/>
      <w:divBdr>
        <w:top w:val="none" w:sz="0" w:space="0" w:color="auto"/>
        <w:left w:val="none" w:sz="0" w:space="0" w:color="auto"/>
        <w:bottom w:val="none" w:sz="0" w:space="0" w:color="auto"/>
        <w:right w:val="none" w:sz="0" w:space="0" w:color="auto"/>
      </w:divBdr>
    </w:div>
    <w:div w:id="1489445193">
      <w:bodyDiv w:val="1"/>
      <w:marLeft w:val="0"/>
      <w:marRight w:val="0"/>
      <w:marTop w:val="0"/>
      <w:marBottom w:val="0"/>
      <w:divBdr>
        <w:top w:val="none" w:sz="0" w:space="0" w:color="auto"/>
        <w:left w:val="none" w:sz="0" w:space="0" w:color="auto"/>
        <w:bottom w:val="none" w:sz="0" w:space="0" w:color="auto"/>
        <w:right w:val="none" w:sz="0" w:space="0" w:color="auto"/>
      </w:divBdr>
    </w:div>
    <w:div w:id="1650087194">
      <w:bodyDiv w:val="1"/>
      <w:marLeft w:val="0"/>
      <w:marRight w:val="0"/>
      <w:marTop w:val="0"/>
      <w:marBottom w:val="0"/>
      <w:divBdr>
        <w:top w:val="none" w:sz="0" w:space="0" w:color="auto"/>
        <w:left w:val="none" w:sz="0" w:space="0" w:color="auto"/>
        <w:bottom w:val="none" w:sz="0" w:space="0" w:color="auto"/>
        <w:right w:val="none" w:sz="0" w:space="0" w:color="auto"/>
      </w:divBdr>
    </w:div>
    <w:div w:id="1806116189">
      <w:bodyDiv w:val="1"/>
      <w:marLeft w:val="0"/>
      <w:marRight w:val="0"/>
      <w:marTop w:val="0"/>
      <w:marBottom w:val="0"/>
      <w:divBdr>
        <w:top w:val="none" w:sz="0" w:space="0" w:color="auto"/>
        <w:left w:val="none" w:sz="0" w:space="0" w:color="auto"/>
        <w:bottom w:val="none" w:sz="0" w:space="0" w:color="auto"/>
        <w:right w:val="none" w:sz="0" w:space="0" w:color="auto"/>
      </w:divBdr>
    </w:div>
    <w:div w:id="1877691273">
      <w:bodyDiv w:val="1"/>
      <w:marLeft w:val="0"/>
      <w:marRight w:val="0"/>
      <w:marTop w:val="0"/>
      <w:marBottom w:val="0"/>
      <w:divBdr>
        <w:top w:val="none" w:sz="0" w:space="0" w:color="auto"/>
        <w:left w:val="none" w:sz="0" w:space="0" w:color="auto"/>
        <w:bottom w:val="none" w:sz="0" w:space="0" w:color="auto"/>
        <w:right w:val="none" w:sz="0" w:space="0" w:color="auto"/>
      </w:divBdr>
    </w:div>
    <w:div w:id="2011174961">
      <w:bodyDiv w:val="1"/>
      <w:marLeft w:val="0"/>
      <w:marRight w:val="0"/>
      <w:marTop w:val="0"/>
      <w:marBottom w:val="0"/>
      <w:divBdr>
        <w:top w:val="none" w:sz="0" w:space="0" w:color="auto"/>
        <w:left w:val="none" w:sz="0" w:space="0" w:color="auto"/>
        <w:bottom w:val="none" w:sz="0" w:space="0" w:color="auto"/>
        <w:right w:val="none" w:sz="0" w:space="0" w:color="auto"/>
      </w:divBdr>
    </w:div>
    <w:div w:id="20404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diagramLayout" Target="diagrams/layout1.xml"/><Relationship Id="rId34" Type="http://schemas.openxmlformats.org/officeDocument/2006/relationships/header" Target="header8.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image" Target="media/image5.jpeg"/><Relationship Id="rId55" Type="http://schemas.openxmlformats.org/officeDocument/2006/relationships/image" Target="media/image8.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image" Target="media/image2.jp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chart" Target="charts/chart1.xml"/><Relationship Id="rId53" Type="http://schemas.openxmlformats.org/officeDocument/2006/relationships/footer" Target="footer19.xml"/><Relationship Id="rId58" Type="http://schemas.openxmlformats.org/officeDocument/2006/relationships/hyperlink" Target="https://data.qld.gov.au" TargetMode="External"/><Relationship Id="rId5" Type="http://schemas.openxmlformats.org/officeDocument/2006/relationships/webSettings" Target="webSettings.xml"/><Relationship Id="rId61" Type="http://schemas.openxmlformats.org/officeDocument/2006/relationships/hyperlink" Target="mailto:annualreport@qca.org.au" TargetMode="External"/><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2.xml"/><Relationship Id="rId48" Type="http://schemas.openxmlformats.org/officeDocument/2006/relationships/image" Target="media/image3.jpg"/><Relationship Id="rId56" Type="http://schemas.openxmlformats.org/officeDocument/2006/relationships/hyperlink" Target="mailto:annualreport@qca.org.au" TargetMode="External"/><Relationship Id="rId8" Type="http://schemas.openxmlformats.org/officeDocument/2006/relationships/image" Target="media/image1.pn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14.xml"/><Relationship Id="rId46" Type="http://schemas.openxmlformats.org/officeDocument/2006/relationships/hyperlink" Target="https://www.qca.org.au/" TargetMode="External"/><Relationship Id="rId59" Type="http://schemas.openxmlformats.org/officeDocument/2006/relationships/image" Target="media/image9.png"/><Relationship Id="rId20" Type="http://schemas.openxmlformats.org/officeDocument/2006/relationships/diagramData" Target="diagrams/data1.xml"/><Relationship Id="rId41" Type="http://schemas.openxmlformats.org/officeDocument/2006/relationships/footer" Target="footer15.xml"/><Relationship Id="rId54" Type="http://schemas.openxmlformats.org/officeDocument/2006/relationships/footer" Target="footer2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4.gif"/><Relationship Id="rId57" Type="http://schemas.openxmlformats.org/officeDocument/2006/relationships/hyperlink" Target="https://www.qca.org.au/our-role/" TargetMode="Externa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image" Target="media/image7.jpeg"/><Relationship Id="rId60" Type="http://schemas.microsoft.com/office/2007/relationships/hdphoto" Target="media/hdphoto2.wdp"/><Relationship Id="rId4" Type="http://schemas.openxmlformats.org/officeDocument/2006/relationships/settings" Target="settings.xml"/><Relationship Id="rId9"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000"/>
              <a:t>Staff Demographics - Age and Gender</a:t>
            </a:r>
          </a:p>
          <a:p>
            <a:pPr>
              <a:defRPr/>
            </a:pPr>
            <a:r>
              <a:rPr lang="en-AU" sz="900"/>
              <a:t>As</a:t>
            </a:r>
            <a:r>
              <a:rPr lang="en-AU" sz="900" baseline="0"/>
              <a:t> at 30 June 2021</a:t>
            </a:r>
            <a:endParaRPr lang="en-AU" sz="9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'Workforce Stats'!$F$54</c:f>
              <c:strCache>
                <c:ptCount val="1"/>
                <c:pt idx="0">
                  <c:v>Male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'Workforce Stats'!$E$55:$E$59</c:f>
              <c:strCache>
                <c:ptCount val="5"/>
                <c:pt idx="0">
                  <c:v>18-24</c:v>
                </c:pt>
                <c:pt idx="1">
                  <c:v>25-34</c:v>
                </c:pt>
                <c:pt idx="2">
                  <c:v>35-44</c:v>
                </c:pt>
                <c:pt idx="3">
                  <c:v>45+</c:v>
                </c:pt>
                <c:pt idx="4">
                  <c:v>TOTAL</c:v>
                </c:pt>
              </c:strCache>
            </c:strRef>
          </c:cat>
          <c:val>
            <c:numRef>
              <c:f>'Workforce Stats'!$F$55:$F$59</c:f>
              <c:numCache>
                <c:formatCode>General</c:formatCode>
                <c:ptCount val="5"/>
                <c:pt idx="0">
                  <c:v>0</c:v>
                </c:pt>
                <c:pt idx="1">
                  <c:v>2</c:v>
                </c:pt>
                <c:pt idx="2">
                  <c:v>10</c:v>
                </c:pt>
                <c:pt idx="3">
                  <c:v>14</c:v>
                </c:pt>
                <c:pt idx="4">
                  <c:v>26</c:v>
                </c:pt>
              </c:numCache>
            </c:numRef>
          </c:val>
          <c:extLst>
            <c:ext xmlns:c16="http://schemas.microsoft.com/office/drawing/2014/chart" uri="{C3380CC4-5D6E-409C-BE32-E72D297353CC}">
              <c16:uniqueId val="{00000000-4EBB-4208-9BEA-7184361ACAC0}"/>
            </c:ext>
          </c:extLst>
        </c:ser>
        <c:ser>
          <c:idx val="1"/>
          <c:order val="1"/>
          <c:tx>
            <c:strRef>
              <c:f>'Workforce Stats'!$G$54</c:f>
              <c:strCache>
                <c:ptCount val="1"/>
                <c:pt idx="0">
                  <c:v>Female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'Workforce Stats'!$E$55:$E$59</c:f>
              <c:strCache>
                <c:ptCount val="5"/>
                <c:pt idx="0">
                  <c:v>18-24</c:v>
                </c:pt>
                <c:pt idx="1">
                  <c:v>25-34</c:v>
                </c:pt>
                <c:pt idx="2">
                  <c:v>35-44</c:v>
                </c:pt>
                <c:pt idx="3">
                  <c:v>45+</c:v>
                </c:pt>
                <c:pt idx="4">
                  <c:v>TOTAL</c:v>
                </c:pt>
              </c:strCache>
            </c:strRef>
          </c:cat>
          <c:val>
            <c:numRef>
              <c:f>'Workforce Stats'!$G$55:$G$59</c:f>
              <c:numCache>
                <c:formatCode>General</c:formatCode>
                <c:ptCount val="5"/>
                <c:pt idx="0">
                  <c:v>0</c:v>
                </c:pt>
                <c:pt idx="1">
                  <c:v>4</c:v>
                </c:pt>
                <c:pt idx="2">
                  <c:v>9</c:v>
                </c:pt>
                <c:pt idx="3">
                  <c:v>6</c:v>
                </c:pt>
                <c:pt idx="4">
                  <c:v>19</c:v>
                </c:pt>
              </c:numCache>
            </c:numRef>
          </c:val>
          <c:extLst>
            <c:ext xmlns:c16="http://schemas.microsoft.com/office/drawing/2014/chart" uri="{C3380CC4-5D6E-409C-BE32-E72D297353CC}">
              <c16:uniqueId val="{00000001-4EBB-4208-9BEA-7184361ACAC0}"/>
            </c:ext>
          </c:extLst>
        </c:ser>
        <c:dLbls>
          <c:dLblPos val="ctr"/>
          <c:showLegendKey val="0"/>
          <c:showVal val="1"/>
          <c:showCatName val="0"/>
          <c:showSerName val="0"/>
          <c:showPercent val="0"/>
          <c:showBubbleSize val="0"/>
        </c:dLbls>
        <c:gapWidth val="79"/>
        <c:overlap val="100"/>
        <c:axId val="677638336"/>
        <c:axId val="677640000"/>
      </c:barChart>
      <c:catAx>
        <c:axId val="67763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Age range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7640000"/>
        <c:crosses val="autoZero"/>
        <c:auto val="1"/>
        <c:lblAlgn val="ctr"/>
        <c:lblOffset val="100"/>
        <c:noMultiLvlLbl val="0"/>
      </c:catAx>
      <c:valAx>
        <c:axId val="677640000"/>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NUMBER OF EMPLOYEES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6776383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A3373E-9EA5-4CCC-8B73-A4D4486CDC14}"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AU"/>
        </a:p>
      </dgm:t>
    </dgm:pt>
    <dgm:pt modelId="{E9E65715-D16A-462D-A540-EEBCA2289CE0}">
      <dgm:prSet phldrT="[Text]"/>
      <dgm:spPr/>
      <dgm:t>
        <a:bodyPr/>
        <a:lstStyle/>
        <a:p>
          <a:r>
            <a:rPr lang="en-AU" dirty="0"/>
            <a:t>Board</a:t>
          </a:r>
        </a:p>
      </dgm:t>
    </dgm:pt>
    <dgm:pt modelId="{64F3D23D-8635-4258-8DA1-E2DDA63D9A4F}" type="parTrans" cxnId="{62D51C3E-3C9F-4389-BD43-ECB8D6011833}">
      <dgm:prSet/>
      <dgm:spPr/>
      <dgm:t>
        <a:bodyPr/>
        <a:lstStyle/>
        <a:p>
          <a:endParaRPr lang="en-AU"/>
        </a:p>
      </dgm:t>
    </dgm:pt>
    <dgm:pt modelId="{5C914C21-264C-47E1-935F-50C5A6CAD406}" type="sibTrans" cxnId="{62D51C3E-3C9F-4389-BD43-ECB8D6011833}">
      <dgm:prSet/>
      <dgm:spPr/>
      <dgm:t>
        <a:bodyPr/>
        <a:lstStyle/>
        <a:p>
          <a:endParaRPr lang="en-AU"/>
        </a:p>
      </dgm:t>
    </dgm:pt>
    <dgm:pt modelId="{33187634-CD30-4AF8-84C1-64B1103C688F}">
      <dgm:prSet phldrT="[Text]"/>
      <dgm:spPr/>
      <dgm:t>
        <a:bodyPr/>
        <a:lstStyle/>
        <a:p>
          <a:r>
            <a:rPr lang="en-AU" dirty="0"/>
            <a:t>Director Business Performance</a:t>
          </a:r>
        </a:p>
      </dgm:t>
    </dgm:pt>
    <dgm:pt modelId="{1F3E51B8-6034-4790-BE88-4AA3DE3C9E84}" type="parTrans" cxnId="{962D70A2-AD3F-4509-B012-D9029BF45CFD}">
      <dgm:prSet/>
      <dgm:spPr/>
      <dgm:t>
        <a:bodyPr/>
        <a:lstStyle/>
        <a:p>
          <a:endParaRPr lang="en-AU"/>
        </a:p>
      </dgm:t>
    </dgm:pt>
    <dgm:pt modelId="{F701ED16-24EA-4BEC-8FF7-27C509B76CB1}" type="sibTrans" cxnId="{962D70A2-AD3F-4509-B012-D9029BF45CFD}">
      <dgm:prSet/>
      <dgm:spPr/>
      <dgm:t>
        <a:bodyPr/>
        <a:lstStyle/>
        <a:p>
          <a:endParaRPr lang="en-AU"/>
        </a:p>
      </dgm:t>
    </dgm:pt>
    <dgm:pt modelId="{67301E81-8DC6-482A-8096-D25E5A169828}">
      <dgm:prSet phldrT="[Text]"/>
      <dgm:spPr/>
      <dgm:t>
        <a:bodyPr/>
        <a:lstStyle/>
        <a:p>
          <a:r>
            <a:rPr lang="en-AU" dirty="0"/>
            <a:t>Director Peer Review</a:t>
          </a:r>
        </a:p>
      </dgm:t>
    </dgm:pt>
    <dgm:pt modelId="{707CEE9B-E78C-4397-9AA5-D3E0F1C7E167}" type="parTrans" cxnId="{C57D962E-1888-40F8-9FA4-73D04B3082FD}">
      <dgm:prSet/>
      <dgm:spPr/>
      <dgm:t>
        <a:bodyPr/>
        <a:lstStyle/>
        <a:p>
          <a:endParaRPr lang="en-AU"/>
        </a:p>
      </dgm:t>
    </dgm:pt>
    <dgm:pt modelId="{736F8339-D52A-406B-84EB-5B10FDF180DE}" type="sibTrans" cxnId="{C57D962E-1888-40F8-9FA4-73D04B3082FD}">
      <dgm:prSet/>
      <dgm:spPr/>
      <dgm:t>
        <a:bodyPr/>
        <a:lstStyle/>
        <a:p>
          <a:endParaRPr lang="en-AU"/>
        </a:p>
      </dgm:t>
    </dgm:pt>
    <dgm:pt modelId="{244819FB-4037-42E8-9252-2D79576AD63E}">
      <dgm:prSet phldrT="[Text]"/>
      <dgm:spPr/>
      <dgm:t>
        <a:bodyPr/>
        <a:lstStyle/>
        <a:p>
          <a:r>
            <a:rPr lang="en-AU" dirty="0"/>
            <a:t>Director </a:t>
          </a:r>
          <a:r>
            <a:rPr lang="en-AU"/>
            <a:t>Corporate Services</a:t>
          </a:r>
        </a:p>
      </dgm:t>
    </dgm:pt>
    <dgm:pt modelId="{C3E0FFF4-E2D0-4C09-999A-8A404558BC0C}" type="parTrans" cxnId="{6F9AAFE9-B469-428A-8E8E-09409D42D88F}">
      <dgm:prSet/>
      <dgm:spPr/>
      <dgm:t>
        <a:bodyPr/>
        <a:lstStyle/>
        <a:p>
          <a:endParaRPr lang="en-AU"/>
        </a:p>
      </dgm:t>
    </dgm:pt>
    <dgm:pt modelId="{4CB6A18F-50C6-426C-8703-A85F2299A770}" type="sibTrans" cxnId="{6F9AAFE9-B469-428A-8E8E-09409D42D88F}">
      <dgm:prSet/>
      <dgm:spPr/>
      <dgm:t>
        <a:bodyPr/>
        <a:lstStyle/>
        <a:p>
          <a:endParaRPr lang="en-AU"/>
        </a:p>
      </dgm:t>
    </dgm:pt>
    <dgm:pt modelId="{FDF50B82-0863-4FBF-BCAE-D145EC9894AC}">
      <dgm:prSet phldrT="[Text]"/>
      <dgm:spPr/>
      <dgm:t>
        <a:bodyPr/>
        <a:lstStyle/>
        <a:p>
          <a:r>
            <a:rPr lang="en-AU" dirty="0"/>
            <a:t>CEO</a:t>
          </a:r>
        </a:p>
      </dgm:t>
    </dgm:pt>
    <dgm:pt modelId="{66E47BD2-0B43-401A-9E4F-DD5FB575B08C}" type="parTrans" cxnId="{3790EDE8-F37D-4570-8577-AD351FE9350D}">
      <dgm:prSet/>
      <dgm:spPr/>
      <dgm:t>
        <a:bodyPr/>
        <a:lstStyle/>
        <a:p>
          <a:endParaRPr lang="en-AU"/>
        </a:p>
      </dgm:t>
    </dgm:pt>
    <dgm:pt modelId="{522C25B7-2B87-4265-BB16-F6402C2797A7}" type="sibTrans" cxnId="{3790EDE8-F37D-4570-8577-AD351FE9350D}">
      <dgm:prSet/>
      <dgm:spPr/>
      <dgm:t>
        <a:bodyPr/>
        <a:lstStyle/>
        <a:p>
          <a:endParaRPr lang="en-AU"/>
        </a:p>
      </dgm:t>
    </dgm:pt>
    <dgm:pt modelId="{4BBD65C5-D20D-48D1-B3F2-AE8867984790}" type="pres">
      <dgm:prSet presAssocID="{B5A3373E-9EA5-4CCC-8B73-A4D4486CDC14}" presName="hierChild1" presStyleCnt="0">
        <dgm:presLayoutVars>
          <dgm:orgChart val="1"/>
          <dgm:chPref val="1"/>
          <dgm:dir/>
          <dgm:animOne val="branch"/>
          <dgm:animLvl val="lvl"/>
          <dgm:resizeHandles/>
        </dgm:presLayoutVars>
      </dgm:prSet>
      <dgm:spPr/>
    </dgm:pt>
    <dgm:pt modelId="{A146AB45-40A0-4640-AE77-345CFF37223B}" type="pres">
      <dgm:prSet presAssocID="{E9E65715-D16A-462D-A540-EEBCA2289CE0}" presName="hierRoot1" presStyleCnt="0">
        <dgm:presLayoutVars>
          <dgm:hierBranch val="init"/>
        </dgm:presLayoutVars>
      </dgm:prSet>
      <dgm:spPr/>
    </dgm:pt>
    <dgm:pt modelId="{81529217-D023-44CD-BEAB-6106CA27F160}" type="pres">
      <dgm:prSet presAssocID="{E9E65715-D16A-462D-A540-EEBCA2289CE0}" presName="rootComposite1" presStyleCnt="0"/>
      <dgm:spPr/>
    </dgm:pt>
    <dgm:pt modelId="{B05E2226-F934-4C42-9E2A-FC70EC67F64F}" type="pres">
      <dgm:prSet presAssocID="{E9E65715-D16A-462D-A540-EEBCA2289CE0}" presName="rootText1" presStyleLbl="node0" presStyleIdx="0" presStyleCnt="2" custLinFactNeighborY="-87857">
        <dgm:presLayoutVars>
          <dgm:chPref val="3"/>
        </dgm:presLayoutVars>
      </dgm:prSet>
      <dgm:spPr/>
    </dgm:pt>
    <dgm:pt modelId="{F677D39B-C00A-489E-9893-2E8143B92DD4}" type="pres">
      <dgm:prSet presAssocID="{E9E65715-D16A-462D-A540-EEBCA2289CE0}" presName="rootConnector1" presStyleLbl="node1" presStyleIdx="0" presStyleCnt="0"/>
      <dgm:spPr/>
    </dgm:pt>
    <dgm:pt modelId="{7B98F28D-31F8-4195-9D46-88BCC3626C24}" type="pres">
      <dgm:prSet presAssocID="{E9E65715-D16A-462D-A540-EEBCA2289CE0}" presName="hierChild2" presStyleCnt="0"/>
      <dgm:spPr/>
    </dgm:pt>
    <dgm:pt modelId="{E817B18D-289C-40C5-9CB2-F986EA0517F6}" type="pres">
      <dgm:prSet presAssocID="{1F3E51B8-6034-4790-BE88-4AA3DE3C9E84}" presName="Name37" presStyleLbl="parChTrans1D2" presStyleIdx="0" presStyleCnt="3"/>
      <dgm:spPr/>
    </dgm:pt>
    <dgm:pt modelId="{C86596C0-3EBD-4312-A7B5-B6A92F3A5E4E}" type="pres">
      <dgm:prSet presAssocID="{33187634-CD30-4AF8-84C1-64B1103C688F}" presName="hierRoot2" presStyleCnt="0">
        <dgm:presLayoutVars>
          <dgm:hierBranch val="init"/>
        </dgm:presLayoutVars>
      </dgm:prSet>
      <dgm:spPr/>
    </dgm:pt>
    <dgm:pt modelId="{B16C5534-3339-4478-BB60-25A36340E85D}" type="pres">
      <dgm:prSet presAssocID="{33187634-CD30-4AF8-84C1-64B1103C688F}" presName="rootComposite" presStyleCnt="0"/>
      <dgm:spPr/>
    </dgm:pt>
    <dgm:pt modelId="{AC8AD3A4-BF8B-4E66-A453-571A372D9788}" type="pres">
      <dgm:prSet presAssocID="{33187634-CD30-4AF8-84C1-64B1103C688F}" presName="rootText" presStyleLbl="node2" presStyleIdx="0" presStyleCnt="3" custLinFactNeighborY="83771">
        <dgm:presLayoutVars>
          <dgm:chPref val="3"/>
        </dgm:presLayoutVars>
      </dgm:prSet>
      <dgm:spPr/>
    </dgm:pt>
    <dgm:pt modelId="{A723C673-8E16-4CC8-B306-F7D00805CD06}" type="pres">
      <dgm:prSet presAssocID="{33187634-CD30-4AF8-84C1-64B1103C688F}" presName="rootConnector" presStyleLbl="node2" presStyleIdx="0" presStyleCnt="3"/>
      <dgm:spPr/>
    </dgm:pt>
    <dgm:pt modelId="{930D5BF8-B19D-40B1-B858-C8586BECD306}" type="pres">
      <dgm:prSet presAssocID="{33187634-CD30-4AF8-84C1-64B1103C688F}" presName="hierChild4" presStyleCnt="0"/>
      <dgm:spPr/>
    </dgm:pt>
    <dgm:pt modelId="{C94891A4-9E3C-4406-88F9-E11EE56C4A68}" type="pres">
      <dgm:prSet presAssocID="{33187634-CD30-4AF8-84C1-64B1103C688F}" presName="hierChild5" presStyleCnt="0"/>
      <dgm:spPr/>
    </dgm:pt>
    <dgm:pt modelId="{3BE7457F-7775-47E4-813B-6DEEF2835827}" type="pres">
      <dgm:prSet presAssocID="{707CEE9B-E78C-4397-9AA5-D3E0F1C7E167}" presName="Name37" presStyleLbl="parChTrans1D2" presStyleIdx="1" presStyleCnt="3"/>
      <dgm:spPr/>
    </dgm:pt>
    <dgm:pt modelId="{E0B23BB4-FC2B-4F60-A300-F9C8500FEE2D}" type="pres">
      <dgm:prSet presAssocID="{67301E81-8DC6-482A-8096-D25E5A169828}" presName="hierRoot2" presStyleCnt="0">
        <dgm:presLayoutVars>
          <dgm:hierBranch val="init"/>
        </dgm:presLayoutVars>
      </dgm:prSet>
      <dgm:spPr/>
    </dgm:pt>
    <dgm:pt modelId="{9A00DF2B-67D7-4464-A16B-75072FE8B8C4}" type="pres">
      <dgm:prSet presAssocID="{67301E81-8DC6-482A-8096-D25E5A169828}" presName="rootComposite" presStyleCnt="0"/>
      <dgm:spPr/>
    </dgm:pt>
    <dgm:pt modelId="{51F4580B-8422-4D16-8E17-7CCE915D3D42}" type="pres">
      <dgm:prSet presAssocID="{67301E81-8DC6-482A-8096-D25E5A169828}" presName="rootText" presStyleLbl="node2" presStyleIdx="1" presStyleCnt="3" custLinFactNeighborY="83090">
        <dgm:presLayoutVars>
          <dgm:chPref val="3"/>
        </dgm:presLayoutVars>
      </dgm:prSet>
      <dgm:spPr/>
    </dgm:pt>
    <dgm:pt modelId="{D4565E58-C303-4D28-8870-DA7527FB3688}" type="pres">
      <dgm:prSet presAssocID="{67301E81-8DC6-482A-8096-D25E5A169828}" presName="rootConnector" presStyleLbl="node2" presStyleIdx="1" presStyleCnt="3"/>
      <dgm:spPr/>
    </dgm:pt>
    <dgm:pt modelId="{AA2429EA-CB4A-414E-AE69-373A3D43B0DB}" type="pres">
      <dgm:prSet presAssocID="{67301E81-8DC6-482A-8096-D25E5A169828}" presName="hierChild4" presStyleCnt="0"/>
      <dgm:spPr/>
    </dgm:pt>
    <dgm:pt modelId="{FA3A5726-1C94-446A-BCAE-D4FDD7D4EE9E}" type="pres">
      <dgm:prSet presAssocID="{67301E81-8DC6-482A-8096-D25E5A169828}" presName="hierChild5" presStyleCnt="0"/>
      <dgm:spPr/>
    </dgm:pt>
    <dgm:pt modelId="{9864DBCE-C887-4780-9DDA-1D856D758E86}" type="pres">
      <dgm:prSet presAssocID="{C3E0FFF4-E2D0-4C09-999A-8A404558BC0C}" presName="Name37" presStyleLbl="parChTrans1D2" presStyleIdx="2" presStyleCnt="3"/>
      <dgm:spPr/>
    </dgm:pt>
    <dgm:pt modelId="{2D8C1E49-3ED8-47D0-9290-33C50FBE7097}" type="pres">
      <dgm:prSet presAssocID="{244819FB-4037-42E8-9252-2D79576AD63E}" presName="hierRoot2" presStyleCnt="0">
        <dgm:presLayoutVars>
          <dgm:hierBranch val="init"/>
        </dgm:presLayoutVars>
      </dgm:prSet>
      <dgm:spPr/>
    </dgm:pt>
    <dgm:pt modelId="{FBD11E17-DCDE-4700-9777-0F2A7B9DD11C}" type="pres">
      <dgm:prSet presAssocID="{244819FB-4037-42E8-9252-2D79576AD63E}" presName="rootComposite" presStyleCnt="0"/>
      <dgm:spPr/>
    </dgm:pt>
    <dgm:pt modelId="{783434F7-37A0-4FD8-BE53-387E683BCE6B}" type="pres">
      <dgm:prSet presAssocID="{244819FB-4037-42E8-9252-2D79576AD63E}" presName="rootText" presStyleLbl="node2" presStyleIdx="2" presStyleCnt="3" custLinFactNeighborX="-318" custLinFactNeighborY="83771">
        <dgm:presLayoutVars>
          <dgm:chPref val="3"/>
        </dgm:presLayoutVars>
      </dgm:prSet>
      <dgm:spPr/>
    </dgm:pt>
    <dgm:pt modelId="{B3A810D7-D41D-48A0-B2CC-0FF1B8AA1339}" type="pres">
      <dgm:prSet presAssocID="{244819FB-4037-42E8-9252-2D79576AD63E}" presName="rootConnector" presStyleLbl="node2" presStyleIdx="2" presStyleCnt="3"/>
      <dgm:spPr/>
    </dgm:pt>
    <dgm:pt modelId="{B41BF728-EEC8-43B1-AAA3-5EA4317AD5C9}" type="pres">
      <dgm:prSet presAssocID="{244819FB-4037-42E8-9252-2D79576AD63E}" presName="hierChild4" presStyleCnt="0"/>
      <dgm:spPr/>
    </dgm:pt>
    <dgm:pt modelId="{F02F9F29-2CB7-48EF-9FF6-BFADD92E7BAB}" type="pres">
      <dgm:prSet presAssocID="{244819FB-4037-42E8-9252-2D79576AD63E}" presName="hierChild5" presStyleCnt="0"/>
      <dgm:spPr/>
    </dgm:pt>
    <dgm:pt modelId="{64AD6310-2650-47E5-8233-1A3DBBDC6D58}" type="pres">
      <dgm:prSet presAssocID="{E9E65715-D16A-462D-A540-EEBCA2289CE0}" presName="hierChild3" presStyleCnt="0"/>
      <dgm:spPr/>
    </dgm:pt>
    <dgm:pt modelId="{3D14C0CC-FBE4-4C1A-8480-CE99F8EE4AD3}" type="pres">
      <dgm:prSet presAssocID="{FDF50B82-0863-4FBF-BCAE-D145EC9894AC}" presName="hierRoot1" presStyleCnt="0">
        <dgm:presLayoutVars>
          <dgm:hierBranch val="init"/>
        </dgm:presLayoutVars>
      </dgm:prSet>
      <dgm:spPr/>
    </dgm:pt>
    <dgm:pt modelId="{5A87E35C-45B3-48B4-8589-CF764FFA87B5}" type="pres">
      <dgm:prSet presAssocID="{FDF50B82-0863-4FBF-BCAE-D145EC9894AC}" presName="rootComposite1" presStyleCnt="0"/>
      <dgm:spPr/>
    </dgm:pt>
    <dgm:pt modelId="{73F442AF-E985-4906-9C59-90AEE7004F49}" type="pres">
      <dgm:prSet presAssocID="{FDF50B82-0863-4FBF-BCAE-D145EC9894AC}" presName="rootText1" presStyleLbl="node0" presStyleIdx="1" presStyleCnt="2" custLinFactX="-21000" custLinFactNeighborX="-100000" custLinFactNeighborY="58572">
        <dgm:presLayoutVars>
          <dgm:chPref val="3"/>
        </dgm:presLayoutVars>
      </dgm:prSet>
      <dgm:spPr/>
    </dgm:pt>
    <dgm:pt modelId="{70B88BAB-EAF1-4B04-96F0-F4A9E0489848}" type="pres">
      <dgm:prSet presAssocID="{FDF50B82-0863-4FBF-BCAE-D145EC9894AC}" presName="rootConnector1" presStyleLbl="node1" presStyleIdx="0" presStyleCnt="0"/>
      <dgm:spPr/>
    </dgm:pt>
    <dgm:pt modelId="{62F830DD-DFCF-4D6F-B316-3EE03C38051C}" type="pres">
      <dgm:prSet presAssocID="{FDF50B82-0863-4FBF-BCAE-D145EC9894AC}" presName="hierChild2" presStyleCnt="0"/>
      <dgm:spPr/>
    </dgm:pt>
    <dgm:pt modelId="{3D070A51-A61A-4BB6-9AE8-4AB73AEA0D56}" type="pres">
      <dgm:prSet presAssocID="{FDF50B82-0863-4FBF-BCAE-D145EC9894AC}" presName="hierChild3" presStyleCnt="0"/>
      <dgm:spPr/>
    </dgm:pt>
  </dgm:ptLst>
  <dgm:cxnLst>
    <dgm:cxn modelId="{33416109-ED22-42BA-8EBE-D36BFD1A2A91}" type="presOf" srcId="{FDF50B82-0863-4FBF-BCAE-D145EC9894AC}" destId="{73F442AF-E985-4906-9C59-90AEE7004F49}" srcOrd="0" destOrd="0" presId="urn:microsoft.com/office/officeart/2005/8/layout/orgChart1"/>
    <dgm:cxn modelId="{D075562A-0365-41BA-BDCA-6C5EE6BAEA99}" type="presOf" srcId="{FDF50B82-0863-4FBF-BCAE-D145EC9894AC}" destId="{70B88BAB-EAF1-4B04-96F0-F4A9E0489848}" srcOrd="1" destOrd="0" presId="urn:microsoft.com/office/officeart/2005/8/layout/orgChart1"/>
    <dgm:cxn modelId="{541F122E-8C28-4678-AF14-12D93F9C0E06}" type="presOf" srcId="{67301E81-8DC6-482A-8096-D25E5A169828}" destId="{51F4580B-8422-4D16-8E17-7CCE915D3D42}" srcOrd="0" destOrd="0" presId="urn:microsoft.com/office/officeart/2005/8/layout/orgChart1"/>
    <dgm:cxn modelId="{C57D962E-1888-40F8-9FA4-73D04B3082FD}" srcId="{E9E65715-D16A-462D-A540-EEBCA2289CE0}" destId="{67301E81-8DC6-482A-8096-D25E5A169828}" srcOrd="1" destOrd="0" parTransId="{707CEE9B-E78C-4397-9AA5-D3E0F1C7E167}" sibTransId="{736F8339-D52A-406B-84EB-5B10FDF180DE}"/>
    <dgm:cxn modelId="{06E2DD33-26C5-4B39-A74F-2BE76AA987DE}" type="presOf" srcId="{707CEE9B-E78C-4397-9AA5-D3E0F1C7E167}" destId="{3BE7457F-7775-47E4-813B-6DEEF2835827}" srcOrd="0" destOrd="0" presId="urn:microsoft.com/office/officeart/2005/8/layout/orgChart1"/>
    <dgm:cxn modelId="{BA64AC38-2301-4839-8A74-256F2F6E6928}" type="presOf" srcId="{33187634-CD30-4AF8-84C1-64B1103C688F}" destId="{AC8AD3A4-BF8B-4E66-A453-571A372D9788}" srcOrd="0" destOrd="0" presId="urn:microsoft.com/office/officeart/2005/8/layout/orgChart1"/>
    <dgm:cxn modelId="{62D51C3E-3C9F-4389-BD43-ECB8D6011833}" srcId="{B5A3373E-9EA5-4CCC-8B73-A4D4486CDC14}" destId="{E9E65715-D16A-462D-A540-EEBCA2289CE0}" srcOrd="0" destOrd="0" parTransId="{64F3D23D-8635-4258-8DA1-E2DDA63D9A4F}" sibTransId="{5C914C21-264C-47E1-935F-50C5A6CAD406}"/>
    <dgm:cxn modelId="{612F345D-D050-4914-9E69-8F06CE09D335}" type="presOf" srcId="{244819FB-4037-42E8-9252-2D79576AD63E}" destId="{B3A810D7-D41D-48A0-B2CC-0FF1B8AA1339}" srcOrd="1" destOrd="0" presId="urn:microsoft.com/office/officeart/2005/8/layout/orgChart1"/>
    <dgm:cxn modelId="{DAE49A46-2617-4D82-93B4-C1D71B5BBF27}" type="presOf" srcId="{E9E65715-D16A-462D-A540-EEBCA2289CE0}" destId="{B05E2226-F934-4C42-9E2A-FC70EC67F64F}" srcOrd="0" destOrd="0" presId="urn:microsoft.com/office/officeart/2005/8/layout/orgChart1"/>
    <dgm:cxn modelId="{5B872379-A12A-463D-9426-0DC00A2B6F7C}" type="presOf" srcId="{1F3E51B8-6034-4790-BE88-4AA3DE3C9E84}" destId="{E817B18D-289C-40C5-9CB2-F986EA0517F6}" srcOrd="0" destOrd="0" presId="urn:microsoft.com/office/officeart/2005/8/layout/orgChart1"/>
    <dgm:cxn modelId="{962D70A2-AD3F-4509-B012-D9029BF45CFD}" srcId="{E9E65715-D16A-462D-A540-EEBCA2289CE0}" destId="{33187634-CD30-4AF8-84C1-64B1103C688F}" srcOrd="0" destOrd="0" parTransId="{1F3E51B8-6034-4790-BE88-4AA3DE3C9E84}" sibTransId="{F701ED16-24EA-4BEC-8FF7-27C509B76CB1}"/>
    <dgm:cxn modelId="{6CD6B8A2-D7FE-4A31-9183-14DF0C6C9265}" type="presOf" srcId="{244819FB-4037-42E8-9252-2D79576AD63E}" destId="{783434F7-37A0-4FD8-BE53-387E683BCE6B}" srcOrd="0" destOrd="0" presId="urn:microsoft.com/office/officeart/2005/8/layout/orgChart1"/>
    <dgm:cxn modelId="{9D2212B8-8888-4C6B-9492-DBC33E3EE1B0}" type="presOf" srcId="{67301E81-8DC6-482A-8096-D25E5A169828}" destId="{D4565E58-C303-4D28-8870-DA7527FB3688}" srcOrd="1" destOrd="0" presId="urn:microsoft.com/office/officeart/2005/8/layout/orgChart1"/>
    <dgm:cxn modelId="{758EBBC5-361F-4C91-A782-C10EF968A29F}" type="presOf" srcId="{33187634-CD30-4AF8-84C1-64B1103C688F}" destId="{A723C673-8E16-4CC8-B306-F7D00805CD06}" srcOrd="1" destOrd="0" presId="urn:microsoft.com/office/officeart/2005/8/layout/orgChart1"/>
    <dgm:cxn modelId="{F30D2BD9-11E1-4789-A425-7FC94A8F26A6}" type="presOf" srcId="{B5A3373E-9EA5-4CCC-8B73-A4D4486CDC14}" destId="{4BBD65C5-D20D-48D1-B3F2-AE8867984790}" srcOrd="0" destOrd="0" presId="urn:microsoft.com/office/officeart/2005/8/layout/orgChart1"/>
    <dgm:cxn modelId="{3790EDE8-F37D-4570-8577-AD351FE9350D}" srcId="{B5A3373E-9EA5-4CCC-8B73-A4D4486CDC14}" destId="{FDF50B82-0863-4FBF-BCAE-D145EC9894AC}" srcOrd="1" destOrd="0" parTransId="{66E47BD2-0B43-401A-9E4F-DD5FB575B08C}" sibTransId="{522C25B7-2B87-4265-BB16-F6402C2797A7}"/>
    <dgm:cxn modelId="{6F9AAFE9-B469-428A-8E8E-09409D42D88F}" srcId="{E9E65715-D16A-462D-A540-EEBCA2289CE0}" destId="{244819FB-4037-42E8-9252-2D79576AD63E}" srcOrd="2" destOrd="0" parTransId="{C3E0FFF4-E2D0-4C09-999A-8A404558BC0C}" sibTransId="{4CB6A18F-50C6-426C-8703-A85F2299A770}"/>
    <dgm:cxn modelId="{1EDAF9F9-EBF7-48DB-86B8-6926981C4C57}" type="presOf" srcId="{C3E0FFF4-E2D0-4C09-999A-8A404558BC0C}" destId="{9864DBCE-C887-4780-9DDA-1D856D758E86}" srcOrd="0" destOrd="0" presId="urn:microsoft.com/office/officeart/2005/8/layout/orgChart1"/>
    <dgm:cxn modelId="{4D04A7FD-8A46-4496-9F66-905D03A69313}" type="presOf" srcId="{E9E65715-D16A-462D-A540-EEBCA2289CE0}" destId="{F677D39B-C00A-489E-9893-2E8143B92DD4}" srcOrd="1" destOrd="0" presId="urn:microsoft.com/office/officeart/2005/8/layout/orgChart1"/>
    <dgm:cxn modelId="{117E96DD-D8F5-43F7-AA1E-A16F78C59935}" type="presParOf" srcId="{4BBD65C5-D20D-48D1-B3F2-AE8867984790}" destId="{A146AB45-40A0-4640-AE77-345CFF37223B}" srcOrd="0" destOrd="0" presId="urn:microsoft.com/office/officeart/2005/8/layout/orgChart1"/>
    <dgm:cxn modelId="{57BAA7C3-B4BF-4ACA-80E1-7363A2D4CCDE}" type="presParOf" srcId="{A146AB45-40A0-4640-AE77-345CFF37223B}" destId="{81529217-D023-44CD-BEAB-6106CA27F160}" srcOrd="0" destOrd="0" presId="urn:microsoft.com/office/officeart/2005/8/layout/orgChart1"/>
    <dgm:cxn modelId="{78B0DEA1-6FA1-4155-AFCA-760AEEDADE60}" type="presParOf" srcId="{81529217-D023-44CD-BEAB-6106CA27F160}" destId="{B05E2226-F934-4C42-9E2A-FC70EC67F64F}" srcOrd="0" destOrd="0" presId="urn:microsoft.com/office/officeart/2005/8/layout/orgChart1"/>
    <dgm:cxn modelId="{04D7654A-8064-416B-82E6-0C533FBF6F51}" type="presParOf" srcId="{81529217-D023-44CD-BEAB-6106CA27F160}" destId="{F677D39B-C00A-489E-9893-2E8143B92DD4}" srcOrd="1" destOrd="0" presId="urn:microsoft.com/office/officeart/2005/8/layout/orgChart1"/>
    <dgm:cxn modelId="{E38E3D2C-C542-4A67-B054-2B73B6DD0BF3}" type="presParOf" srcId="{A146AB45-40A0-4640-AE77-345CFF37223B}" destId="{7B98F28D-31F8-4195-9D46-88BCC3626C24}" srcOrd="1" destOrd="0" presId="urn:microsoft.com/office/officeart/2005/8/layout/orgChart1"/>
    <dgm:cxn modelId="{EC961B4B-5166-4D74-A965-A26E7FA16E37}" type="presParOf" srcId="{7B98F28D-31F8-4195-9D46-88BCC3626C24}" destId="{E817B18D-289C-40C5-9CB2-F986EA0517F6}" srcOrd="0" destOrd="0" presId="urn:microsoft.com/office/officeart/2005/8/layout/orgChart1"/>
    <dgm:cxn modelId="{6A9AF307-BCE3-4C02-B857-3D4EDA63874F}" type="presParOf" srcId="{7B98F28D-31F8-4195-9D46-88BCC3626C24}" destId="{C86596C0-3EBD-4312-A7B5-B6A92F3A5E4E}" srcOrd="1" destOrd="0" presId="urn:microsoft.com/office/officeart/2005/8/layout/orgChart1"/>
    <dgm:cxn modelId="{D4213570-FBD7-43D7-BE8F-09BC31255C4C}" type="presParOf" srcId="{C86596C0-3EBD-4312-A7B5-B6A92F3A5E4E}" destId="{B16C5534-3339-4478-BB60-25A36340E85D}" srcOrd="0" destOrd="0" presId="urn:microsoft.com/office/officeart/2005/8/layout/orgChart1"/>
    <dgm:cxn modelId="{C6D17FFA-7AD9-48FD-ABDC-979B5EB8B200}" type="presParOf" srcId="{B16C5534-3339-4478-BB60-25A36340E85D}" destId="{AC8AD3A4-BF8B-4E66-A453-571A372D9788}" srcOrd="0" destOrd="0" presId="urn:microsoft.com/office/officeart/2005/8/layout/orgChart1"/>
    <dgm:cxn modelId="{2AC6579A-8032-4468-A68C-A74839567F2D}" type="presParOf" srcId="{B16C5534-3339-4478-BB60-25A36340E85D}" destId="{A723C673-8E16-4CC8-B306-F7D00805CD06}" srcOrd="1" destOrd="0" presId="urn:microsoft.com/office/officeart/2005/8/layout/orgChart1"/>
    <dgm:cxn modelId="{131792C9-68C5-42A4-98E8-2E3580226C29}" type="presParOf" srcId="{C86596C0-3EBD-4312-A7B5-B6A92F3A5E4E}" destId="{930D5BF8-B19D-40B1-B858-C8586BECD306}" srcOrd="1" destOrd="0" presId="urn:microsoft.com/office/officeart/2005/8/layout/orgChart1"/>
    <dgm:cxn modelId="{5F3B7544-3B93-432A-A482-98333AEC8758}" type="presParOf" srcId="{C86596C0-3EBD-4312-A7B5-B6A92F3A5E4E}" destId="{C94891A4-9E3C-4406-88F9-E11EE56C4A68}" srcOrd="2" destOrd="0" presId="urn:microsoft.com/office/officeart/2005/8/layout/orgChart1"/>
    <dgm:cxn modelId="{CA63B313-3B5D-4BE7-870C-7FE8C8D560CD}" type="presParOf" srcId="{7B98F28D-31F8-4195-9D46-88BCC3626C24}" destId="{3BE7457F-7775-47E4-813B-6DEEF2835827}" srcOrd="2" destOrd="0" presId="urn:microsoft.com/office/officeart/2005/8/layout/orgChart1"/>
    <dgm:cxn modelId="{D47010F8-91E2-4AD5-A51F-70BCEC660843}" type="presParOf" srcId="{7B98F28D-31F8-4195-9D46-88BCC3626C24}" destId="{E0B23BB4-FC2B-4F60-A300-F9C8500FEE2D}" srcOrd="3" destOrd="0" presId="urn:microsoft.com/office/officeart/2005/8/layout/orgChart1"/>
    <dgm:cxn modelId="{95ADC987-128B-446F-BCD3-4E781273F03D}" type="presParOf" srcId="{E0B23BB4-FC2B-4F60-A300-F9C8500FEE2D}" destId="{9A00DF2B-67D7-4464-A16B-75072FE8B8C4}" srcOrd="0" destOrd="0" presId="urn:microsoft.com/office/officeart/2005/8/layout/orgChart1"/>
    <dgm:cxn modelId="{5A902440-CAE3-4A33-A4F9-7FCF7F2A04A5}" type="presParOf" srcId="{9A00DF2B-67D7-4464-A16B-75072FE8B8C4}" destId="{51F4580B-8422-4D16-8E17-7CCE915D3D42}" srcOrd="0" destOrd="0" presId="urn:microsoft.com/office/officeart/2005/8/layout/orgChart1"/>
    <dgm:cxn modelId="{68CF8F91-7FFA-4F42-BD44-D0D2A89F098A}" type="presParOf" srcId="{9A00DF2B-67D7-4464-A16B-75072FE8B8C4}" destId="{D4565E58-C303-4D28-8870-DA7527FB3688}" srcOrd="1" destOrd="0" presId="urn:microsoft.com/office/officeart/2005/8/layout/orgChart1"/>
    <dgm:cxn modelId="{4F9C1F9D-8F81-45AE-A55D-44B0A7D57504}" type="presParOf" srcId="{E0B23BB4-FC2B-4F60-A300-F9C8500FEE2D}" destId="{AA2429EA-CB4A-414E-AE69-373A3D43B0DB}" srcOrd="1" destOrd="0" presId="urn:microsoft.com/office/officeart/2005/8/layout/orgChart1"/>
    <dgm:cxn modelId="{DE3806A1-AA88-4F86-8FC3-5E126642EEB5}" type="presParOf" srcId="{E0B23BB4-FC2B-4F60-A300-F9C8500FEE2D}" destId="{FA3A5726-1C94-446A-BCAE-D4FDD7D4EE9E}" srcOrd="2" destOrd="0" presId="urn:microsoft.com/office/officeart/2005/8/layout/orgChart1"/>
    <dgm:cxn modelId="{CAEDEA17-3CDA-4914-8576-F6357AE5A409}" type="presParOf" srcId="{7B98F28D-31F8-4195-9D46-88BCC3626C24}" destId="{9864DBCE-C887-4780-9DDA-1D856D758E86}" srcOrd="4" destOrd="0" presId="urn:microsoft.com/office/officeart/2005/8/layout/orgChart1"/>
    <dgm:cxn modelId="{A46DC512-081E-4FF0-A8C8-85DC494F3FEE}" type="presParOf" srcId="{7B98F28D-31F8-4195-9D46-88BCC3626C24}" destId="{2D8C1E49-3ED8-47D0-9290-33C50FBE7097}" srcOrd="5" destOrd="0" presId="urn:microsoft.com/office/officeart/2005/8/layout/orgChart1"/>
    <dgm:cxn modelId="{3D1142E8-E55E-4B2C-868D-4CA07846BF64}" type="presParOf" srcId="{2D8C1E49-3ED8-47D0-9290-33C50FBE7097}" destId="{FBD11E17-DCDE-4700-9777-0F2A7B9DD11C}" srcOrd="0" destOrd="0" presId="urn:microsoft.com/office/officeart/2005/8/layout/orgChart1"/>
    <dgm:cxn modelId="{FBFD3E2A-12B4-46A8-891F-E26B046DB586}" type="presParOf" srcId="{FBD11E17-DCDE-4700-9777-0F2A7B9DD11C}" destId="{783434F7-37A0-4FD8-BE53-387E683BCE6B}" srcOrd="0" destOrd="0" presId="urn:microsoft.com/office/officeart/2005/8/layout/orgChart1"/>
    <dgm:cxn modelId="{61427773-6330-4CD8-820A-704A1AE60401}" type="presParOf" srcId="{FBD11E17-DCDE-4700-9777-0F2A7B9DD11C}" destId="{B3A810D7-D41D-48A0-B2CC-0FF1B8AA1339}" srcOrd="1" destOrd="0" presId="urn:microsoft.com/office/officeart/2005/8/layout/orgChart1"/>
    <dgm:cxn modelId="{A34A26C4-1026-4A72-BBD3-CFE9A1689200}" type="presParOf" srcId="{2D8C1E49-3ED8-47D0-9290-33C50FBE7097}" destId="{B41BF728-EEC8-43B1-AAA3-5EA4317AD5C9}" srcOrd="1" destOrd="0" presId="urn:microsoft.com/office/officeart/2005/8/layout/orgChart1"/>
    <dgm:cxn modelId="{A8E4D3AF-CCE0-4DB7-ACC7-D464B669DC8D}" type="presParOf" srcId="{2D8C1E49-3ED8-47D0-9290-33C50FBE7097}" destId="{F02F9F29-2CB7-48EF-9FF6-BFADD92E7BAB}" srcOrd="2" destOrd="0" presId="urn:microsoft.com/office/officeart/2005/8/layout/orgChart1"/>
    <dgm:cxn modelId="{C9413B68-8D9B-49C6-90B8-5C993080FEAC}" type="presParOf" srcId="{A146AB45-40A0-4640-AE77-345CFF37223B}" destId="{64AD6310-2650-47E5-8233-1A3DBBDC6D58}" srcOrd="2" destOrd="0" presId="urn:microsoft.com/office/officeart/2005/8/layout/orgChart1"/>
    <dgm:cxn modelId="{B2C29B61-B489-44AD-A81E-2FA6136D65D3}" type="presParOf" srcId="{4BBD65C5-D20D-48D1-B3F2-AE8867984790}" destId="{3D14C0CC-FBE4-4C1A-8480-CE99F8EE4AD3}" srcOrd="1" destOrd="0" presId="urn:microsoft.com/office/officeart/2005/8/layout/orgChart1"/>
    <dgm:cxn modelId="{DA3FE3E0-2ED0-43C0-ACC0-7898CF8FBDE4}" type="presParOf" srcId="{3D14C0CC-FBE4-4C1A-8480-CE99F8EE4AD3}" destId="{5A87E35C-45B3-48B4-8589-CF764FFA87B5}" srcOrd="0" destOrd="0" presId="urn:microsoft.com/office/officeart/2005/8/layout/orgChart1"/>
    <dgm:cxn modelId="{06B08575-3A47-42B7-8744-436BE3B1BDA2}" type="presParOf" srcId="{5A87E35C-45B3-48B4-8589-CF764FFA87B5}" destId="{73F442AF-E985-4906-9C59-90AEE7004F49}" srcOrd="0" destOrd="0" presId="urn:microsoft.com/office/officeart/2005/8/layout/orgChart1"/>
    <dgm:cxn modelId="{58EF1BCA-DD13-4E68-ACF1-928530052C42}" type="presParOf" srcId="{5A87E35C-45B3-48B4-8589-CF764FFA87B5}" destId="{70B88BAB-EAF1-4B04-96F0-F4A9E0489848}" srcOrd="1" destOrd="0" presId="urn:microsoft.com/office/officeart/2005/8/layout/orgChart1"/>
    <dgm:cxn modelId="{851C6130-BA68-48A9-971D-4C88AAAF9C7C}" type="presParOf" srcId="{3D14C0CC-FBE4-4C1A-8480-CE99F8EE4AD3}" destId="{62F830DD-DFCF-4D6F-B316-3EE03C38051C}" srcOrd="1" destOrd="0" presId="urn:microsoft.com/office/officeart/2005/8/layout/orgChart1"/>
    <dgm:cxn modelId="{2DD556E6-F68E-417C-87A2-F4F83A76E062}" type="presParOf" srcId="{3D14C0CC-FBE4-4C1A-8480-CE99F8EE4AD3}" destId="{3D070A51-A61A-4BB6-9AE8-4AB73AEA0D56}"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4DBCE-C887-4780-9DDA-1D856D758E86}">
      <dsp:nvSpPr>
        <dsp:cNvPr id="0" name=""/>
        <dsp:cNvSpPr/>
      </dsp:nvSpPr>
      <dsp:spPr>
        <a:xfrm>
          <a:off x="2925127" y="1019155"/>
          <a:ext cx="2064110" cy="1826915"/>
        </a:xfrm>
        <a:custGeom>
          <a:avLst/>
          <a:gdLst/>
          <a:ahLst/>
          <a:cxnLst/>
          <a:rect l="0" t="0" r="0" b="0"/>
          <a:pathLst>
            <a:path>
              <a:moveTo>
                <a:pt x="0" y="0"/>
              </a:moveTo>
              <a:lnTo>
                <a:pt x="0" y="1647326"/>
              </a:lnTo>
              <a:lnTo>
                <a:pt x="2064110" y="1647326"/>
              </a:lnTo>
              <a:lnTo>
                <a:pt x="2064110" y="182691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E7457F-7775-47E4-813B-6DEEF2835827}">
      <dsp:nvSpPr>
        <dsp:cNvPr id="0" name=""/>
        <dsp:cNvSpPr/>
      </dsp:nvSpPr>
      <dsp:spPr>
        <a:xfrm>
          <a:off x="2879407" y="1019155"/>
          <a:ext cx="91440" cy="1821092"/>
        </a:xfrm>
        <a:custGeom>
          <a:avLst/>
          <a:gdLst/>
          <a:ahLst/>
          <a:cxnLst/>
          <a:rect l="0" t="0" r="0" b="0"/>
          <a:pathLst>
            <a:path>
              <a:moveTo>
                <a:pt x="45720" y="0"/>
              </a:moveTo>
              <a:lnTo>
                <a:pt x="45720" y="182109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7B18D-289C-40C5-9CB2-F986EA0517F6}">
      <dsp:nvSpPr>
        <dsp:cNvPr id="0" name=""/>
        <dsp:cNvSpPr/>
      </dsp:nvSpPr>
      <dsp:spPr>
        <a:xfrm>
          <a:off x="855578" y="1019155"/>
          <a:ext cx="2069549" cy="1826915"/>
        </a:xfrm>
        <a:custGeom>
          <a:avLst/>
          <a:gdLst/>
          <a:ahLst/>
          <a:cxnLst/>
          <a:rect l="0" t="0" r="0" b="0"/>
          <a:pathLst>
            <a:path>
              <a:moveTo>
                <a:pt x="2069549" y="0"/>
              </a:moveTo>
              <a:lnTo>
                <a:pt x="2069549" y="1647326"/>
              </a:lnTo>
              <a:lnTo>
                <a:pt x="0" y="1647326"/>
              </a:lnTo>
              <a:lnTo>
                <a:pt x="0" y="182691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5E2226-F934-4C42-9E2A-FC70EC67F64F}">
      <dsp:nvSpPr>
        <dsp:cNvPr id="0" name=""/>
        <dsp:cNvSpPr/>
      </dsp:nvSpPr>
      <dsp:spPr>
        <a:xfrm>
          <a:off x="2069941" y="163970"/>
          <a:ext cx="1710371" cy="855185"/>
        </a:xfrm>
        <a:prstGeom prst="rect">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dirty="0"/>
            <a:t>Board</a:t>
          </a:r>
        </a:p>
      </dsp:txBody>
      <dsp:txXfrm>
        <a:off x="2069941" y="163970"/>
        <a:ext cx="1710371" cy="855185"/>
      </dsp:txXfrm>
    </dsp:sp>
    <dsp:sp modelId="{AC8AD3A4-BF8B-4E66-A453-571A372D9788}">
      <dsp:nvSpPr>
        <dsp:cNvPr id="0" name=""/>
        <dsp:cNvSpPr/>
      </dsp:nvSpPr>
      <dsp:spPr>
        <a:xfrm>
          <a:off x="392" y="2846071"/>
          <a:ext cx="1710371" cy="855185"/>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dirty="0"/>
            <a:t>Director Business Performance</a:t>
          </a:r>
        </a:p>
      </dsp:txBody>
      <dsp:txXfrm>
        <a:off x="392" y="2846071"/>
        <a:ext cx="1710371" cy="855185"/>
      </dsp:txXfrm>
    </dsp:sp>
    <dsp:sp modelId="{51F4580B-8422-4D16-8E17-7CCE915D3D42}">
      <dsp:nvSpPr>
        <dsp:cNvPr id="0" name=""/>
        <dsp:cNvSpPr/>
      </dsp:nvSpPr>
      <dsp:spPr>
        <a:xfrm>
          <a:off x="2069941" y="2840247"/>
          <a:ext cx="1710371" cy="855185"/>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dirty="0"/>
            <a:t>Director Peer Review</a:t>
          </a:r>
        </a:p>
      </dsp:txBody>
      <dsp:txXfrm>
        <a:off x="2069941" y="2840247"/>
        <a:ext cx="1710371" cy="855185"/>
      </dsp:txXfrm>
    </dsp:sp>
    <dsp:sp modelId="{783434F7-37A0-4FD8-BE53-387E683BCE6B}">
      <dsp:nvSpPr>
        <dsp:cNvPr id="0" name=""/>
        <dsp:cNvSpPr/>
      </dsp:nvSpPr>
      <dsp:spPr>
        <a:xfrm>
          <a:off x="4134052" y="2846071"/>
          <a:ext cx="1710371" cy="855185"/>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dirty="0"/>
            <a:t>Director </a:t>
          </a:r>
          <a:r>
            <a:rPr lang="en-AU" sz="1900" kern="1200"/>
            <a:t>Corporate Services</a:t>
          </a:r>
        </a:p>
      </dsp:txBody>
      <dsp:txXfrm>
        <a:off x="4134052" y="2846071"/>
        <a:ext cx="1710371" cy="855185"/>
      </dsp:txXfrm>
    </dsp:sp>
    <dsp:sp modelId="{73F442AF-E985-4906-9C59-90AEE7004F49}">
      <dsp:nvSpPr>
        <dsp:cNvPr id="0" name=""/>
        <dsp:cNvSpPr/>
      </dsp:nvSpPr>
      <dsp:spPr>
        <a:xfrm>
          <a:off x="2069941" y="1416209"/>
          <a:ext cx="1710371" cy="855185"/>
        </a:xfrm>
        <a:prstGeom prst="rect">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dirty="0"/>
            <a:t>CEO</a:t>
          </a:r>
        </a:p>
      </dsp:txBody>
      <dsp:txXfrm>
        <a:off x="2069941" y="1416209"/>
        <a:ext cx="1710371" cy="8551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D506FB6-3813-49EC-9C04-9F38007E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16875</Words>
  <Characters>100829</Characters>
  <Application>Microsoft Office Word</Application>
  <DocSecurity>0</DocSecurity>
  <Lines>840</Lines>
  <Paragraphs>234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Taylor</dc:creator>
  <cp:keywords/>
  <dc:description/>
  <cp:lastModifiedBy>Carola Hofmann</cp:lastModifiedBy>
  <cp:revision>2</cp:revision>
  <cp:lastPrinted>2021-09-15T21:28:00Z</cp:lastPrinted>
  <dcterms:created xsi:type="dcterms:W3CDTF">2021-09-30T01:32:00Z</dcterms:created>
  <dcterms:modified xsi:type="dcterms:W3CDTF">2021-09-30T01:32:00Z</dcterms:modified>
</cp:coreProperties>
</file>